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adjustRightInd w:val="0"/>
        <w:snapToGrid w:val="0"/>
        <w:spacing w:line="360" w:lineRule="auto"/>
        <w:jc w:val="center"/>
        <w:rPr>
          <w:rFonts w:hint="eastAsia" w:ascii="方正小标宋_GBK" w:hAnsi="仿宋_GB2312" w:eastAsia="方正小标宋_GBK" w:cs="仿宋_GB2312"/>
          <w:bCs/>
          <w:color w:val="000000"/>
          <w:sz w:val="36"/>
          <w:szCs w:val="36"/>
          <w:lang w:val="en-US" w:bidi="ar"/>
        </w:rPr>
      </w:pPr>
      <w:r>
        <w:rPr>
          <w:rFonts w:hint="eastAsia" w:ascii="方正小标宋_GBK" w:hAnsi="黑体" w:eastAsia="方正小标宋_GBK" w:cs="黑体"/>
          <w:bCs/>
          <w:sz w:val="36"/>
          <w:szCs w:val="36"/>
          <w:lang w:val="en-US"/>
        </w:rPr>
        <w:t>策勒县县域节水型社会达标建设实施方案</w:t>
      </w:r>
    </w:p>
    <w:p>
      <w:pPr>
        <w:pStyle w:val="7"/>
        <w:adjustRightInd w:val="0"/>
        <w:snapToGrid w:val="0"/>
        <w:spacing w:line="360" w:lineRule="auto"/>
        <w:ind w:firstLine="640" w:firstLineChars="200"/>
        <w:jc w:val="both"/>
        <w:rPr>
          <w:rFonts w:hint="eastAsia" w:ascii="仿宋_GB2312" w:hAnsi="仿宋" w:eastAsia="仿宋_GB2312" w:cs="仿宋"/>
          <w:color w:val="auto"/>
          <w:sz w:val="32"/>
          <w:szCs w:val="32"/>
          <w:lang w:val="en-US" w:bidi="ar"/>
        </w:rPr>
      </w:pPr>
      <w:r>
        <w:rPr>
          <w:rFonts w:hint="eastAsia" w:ascii="仿宋_GB2312" w:hAnsi="仿宋" w:eastAsia="仿宋_GB2312" w:cs="仿宋"/>
          <w:color w:val="auto"/>
          <w:sz w:val="32"/>
          <w:szCs w:val="32"/>
        </w:rPr>
        <w:t>为深入贯彻落实节水优先方针和国家节水行动，加快推进节水型社会建设，进一步提高用水效率，促进经济社会可持续发展，依据自治区人民政府办公厅《关于印发</w:t>
      </w:r>
      <w:bookmarkStart w:id="0" w:name="_Hlk135300702"/>
      <w:r>
        <w:rPr>
          <w:rFonts w:hint="eastAsia" w:ascii="仿宋_GB2312" w:hAnsi="仿宋" w:eastAsia="仿宋_GB2312" w:cs="仿宋"/>
          <w:color w:val="auto"/>
          <w:sz w:val="32"/>
          <w:szCs w:val="32"/>
        </w:rPr>
        <w:t>新疆维吾尔自治区节水行动实施方案</w:t>
      </w:r>
      <w:bookmarkEnd w:id="0"/>
      <w:r>
        <w:rPr>
          <w:rFonts w:hint="eastAsia" w:ascii="仿宋_GB2312" w:hAnsi="仿宋" w:eastAsia="仿宋_GB2312" w:cs="仿宋"/>
          <w:color w:val="auto"/>
          <w:sz w:val="32"/>
          <w:szCs w:val="32"/>
        </w:rPr>
        <w:t>的通知》（新政办发〔2019〕125号）及自治区水利厅《关于开展县域节水型社会达标建设工作的通知》（新水办政资〔2017〕18号）的要求，结合我</w:t>
      </w:r>
      <w:r>
        <w:rPr>
          <w:rFonts w:hint="eastAsia" w:ascii="仿宋_GB2312" w:hAnsi="仿宋" w:eastAsia="仿宋_GB2312" w:cs="仿宋"/>
          <w:color w:val="auto"/>
          <w:sz w:val="32"/>
          <w:szCs w:val="32"/>
          <w:lang w:val="en-US"/>
        </w:rPr>
        <w:t>县</w:t>
      </w:r>
      <w:r>
        <w:rPr>
          <w:rFonts w:hint="eastAsia" w:ascii="仿宋_GB2312" w:hAnsi="仿宋" w:eastAsia="仿宋_GB2312" w:cs="仿宋"/>
          <w:color w:val="auto"/>
          <w:sz w:val="32"/>
          <w:szCs w:val="32"/>
        </w:rPr>
        <w:t>水资源实际，特制定本实施方案。</w:t>
      </w:r>
    </w:p>
    <w:p>
      <w:pPr>
        <w:pStyle w:val="13"/>
        <w:keepNext/>
        <w:widowControl/>
        <w:overflowPunct w:val="0"/>
        <w:topLinePunct/>
        <w:autoSpaceDE/>
        <w:autoSpaceDN/>
        <w:spacing w:line="360" w:lineRule="auto"/>
        <w:ind w:left="0" w:right="0"/>
        <w:rPr>
          <w:rFonts w:hint="eastAsia" w:ascii="仿宋_GB2312"/>
          <w:b/>
          <w:sz w:val="32"/>
          <w:szCs w:val="32"/>
        </w:rPr>
      </w:pPr>
      <w:bookmarkStart w:id="1" w:name="一、指导思想和基本原则"/>
      <w:bookmarkEnd w:id="1"/>
      <w:r>
        <w:rPr>
          <w:rFonts w:hint="eastAsia" w:ascii="仿宋_GB2312"/>
          <w:b/>
          <w:sz w:val="32"/>
          <w:szCs w:val="32"/>
        </w:rPr>
        <w:t>一、指导思想和基本原则</w:t>
      </w:r>
    </w:p>
    <w:p>
      <w:pPr>
        <w:pStyle w:val="11"/>
        <w:keepNext/>
        <w:widowControl/>
        <w:overflowPunct w:val="0"/>
        <w:topLinePunct/>
        <w:autoSpaceDE/>
        <w:autoSpaceDN/>
        <w:spacing w:line="360" w:lineRule="auto"/>
        <w:ind w:left="0" w:firstLine="643"/>
        <w:rPr>
          <w:rFonts w:hint="eastAsia" w:ascii="仿宋_GB2312" w:hAnsi="仿宋" w:cs="仿宋"/>
          <w:b/>
          <w:bCs/>
        </w:rPr>
      </w:pPr>
      <w:r>
        <w:rPr>
          <w:rFonts w:hint="eastAsia" w:ascii="仿宋_GB2312" w:hAnsi="仿宋" w:cs="仿宋"/>
          <w:b/>
          <w:bCs/>
        </w:rPr>
        <w:t>（一）指导思想</w:t>
      </w:r>
    </w:p>
    <w:p>
      <w:pPr>
        <w:pStyle w:val="7"/>
        <w:adjustRightInd w:val="0"/>
        <w:snapToGrid w:val="0"/>
        <w:spacing w:line="360" w:lineRule="auto"/>
        <w:ind w:firstLine="640" w:firstLineChars="200"/>
        <w:jc w:val="both"/>
        <w:rPr>
          <w:rFonts w:hint="eastAsia" w:ascii="仿宋_GB2312" w:hAnsi="仿宋" w:eastAsia="仿宋_GB2312" w:cs="仿宋"/>
          <w:color w:val="000000"/>
          <w:sz w:val="32"/>
          <w:szCs w:val="32"/>
          <w:lang w:val="en-US" w:bidi="ar"/>
        </w:rPr>
      </w:pPr>
      <w:r>
        <w:rPr>
          <w:rFonts w:hint="eastAsia" w:ascii="仿宋_GB2312" w:hAnsi="仿宋" w:eastAsia="仿宋_GB2312" w:cs="仿宋"/>
          <w:color w:val="000000"/>
          <w:sz w:val="32"/>
          <w:szCs w:val="32"/>
          <w:lang w:val="en-US" w:bidi="ar"/>
        </w:rPr>
        <w:t>以习近平新时代中国特色社会主义思想为指导，坚持“节水优先、空间均衡、系统治理、两手发力”的治水思路，全面落实《国家节水行动方案》《新疆维吾尔自治区节水行动实施方案》</w:t>
      </w:r>
      <w:r>
        <w:rPr>
          <w:rFonts w:hint="eastAsia" w:ascii="仿宋_GB2312" w:hAnsi="仿宋" w:eastAsia="仿宋_GB2312" w:cs="仿宋"/>
          <w:color w:val="auto"/>
          <w:sz w:val="32"/>
          <w:szCs w:val="32"/>
          <w:lang w:val="en-US" w:eastAsia="zh-CN" w:bidi="ar"/>
        </w:rPr>
        <w:t>以及《新疆维吾尔自治区节水型社会建设“十四五”规划》要求，提升节水意识、强化刚性约束、补齐设施短板、强化科技支撑、健全市场，</w:t>
      </w:r>
      <w:r>
        <w:rPr>
          <w:rFonts w:hint="eastAsia" w:ascii="仿宋_GB2312" w:hAnsi="仿宋" w:eastAsia="仿宋_GB2312" w:cs="仿宋"/>
          <w:color w:val="000000"/>
          <w:sz w:val="32"/>
          <w:szCs w:val="32"/>
          <w:lang w:val="en-US" w:bidi="ar"/>
        </w:rPr>
        <w:t>以先进节水标准体系为导向，突出重点行业、抓好重点环节、落实重点任务，全面建设“体系完整、制度完善、设施完备、利用高效、节水自律、监管有效”的节水型社会，不断提高用水效率效益，促进用水方式由粗放向节约集约转变，为全县水资源可持续利用和水安全保障提供有力支撑。</w:t>
      </w:r>
    </w:p>
    <w:p>
      <w:pPr>
        <w:pStyle w:val="11"/>
        <w:keepNext/>
        <w:widowControl/>
        <w:overflowPunct w:val="0"/>
        <w:topLinePunct/>
        <w:autoSpaceDE/>
        <w:autoSpaceDN/>
        <w:spacing w:line="360" w:lineRule="auto"/>
        <w:ind w:left="0" w:firstLine="643"/>
        <w:rPr>
          <w:rFonts w:hint="eastAsia" w:ascii="仿宋_GB2312" w:hAnsi="仿宋" w:cs="仿宋"/>
          <w:b/>
          <w:bCs/>
        </w:rPr>
      </w:pPr>
      <w:r>
        <w:rPr>
          <w:rFonts w:hint="eastAsia" w:ascii="仿宋_GB2312" w:hAnsi="仿宋" w:cs="仿宋"/>
          <w:b/>
          <w:bCs/>
        </w:rPr>
        <w:t>（二）基本原则</w:t>
      </w:r>
    </w:p>
    <w:p>
      <w:pPr>
        <w:pStyle w:val="7"/>
        <w:adjustRightInd w:val="0"/>
        <w:snapToGrid w:val="0"/>
        <w:spacing w:line="360" w:lineRule="auto"/>
        <w:ind w:firstLine="640" w:firstLineChars="200"/>
        <w:jc w:val="both"/>
        <w:rPr>
          <w:rFonts w:hint="eastAsia" w:ascii="仿宋_GB2312" w:hAnsi="仿宋" w:eastAsia="仿宋_GB2312" w:cs="仿宋"/>
          <w:color w:val="000000"/>
          <w:sz w:val="32"/>
          <w:szCs w:val="32"/>
          <w:lang w:val="en-US" w:bidi="ar"/>
        </w:rPr>
      </w:pPr>
      <w:r>
        <w:rPr>
          <w:rFonts w:hint="eastAsia" w:ascii="仿宋_GB2312" w:hAnsi="仿宋" w:eastAsia="仿宋_GB2312" w:cs="仿宋"/>
          <w:color w:val="000000"/>
          <w:sz w:val="32"/>
          <w:szCs w:val="32"/>
          <w:lang w:val="en-US" w:bidi="ar"/>
        </w:rPr>
        <w:t>节水优先、绿色发展。在更加注重节约用水的同时，服从县域经济社会发展战略需要，加快形成节约资源的产业结构、生产生活方式和消费方式，实现经济社会可持续发展。</w:t>
      </w:r>
    </w:p>
    <w:p>
      <w:pPr>
        <w:pStyle w:val="7"/>
        <w:adjustRightInd w:val="0"/>
        <w:snapToGrid w:val="0"/>
        <w:spacing w:line="360" w:lineRule="auto"/>
        <w:ind w:firstLine="640" w:firstLineChars="200"/>
        <w:jc w:val="both"/>
        <w:rPr>
          <w:rFonts w:hint="eastAsia" w:ascii="仿宋_GB2312" w:hAnsi="仿宋" w:eastAsia="仿宋_GB2312" w:cs="仿宋"/>
          <w:color w:val="000000"/>
          <w:sz w:val="32"/>
          <w:szCs w:val="32"/>
          <w:lang w:val="en-US" w:bidi="ar"/>
        </w:rPr>
      </w:pPr>
      <w:r>
        <w:rPr>
          <w:rFonts w:hint="eastAsia" w:ascii="仿宋_GB2312" w:hAnsi="仿宋" w:eastAsia="仿宋_GB2312" w:cs="仿宋"/>
          <w:color w:val="000000"/>
          <w:sz w:val="32"/>
          <w:szCs w:val="32"/>
          <w:lang w:val="en-US" w:bidi="ar"/>
        </w:rPr>
        <w:t>对标先进、深挖潜力。对标先进水平，建立节水标准体系,将节水贯穿到社会所有用水主体和各用水环节。综合采取法律、政策、行政、工程、技术、管理、经济等手段，挖掘节水潜力，提高水资源利用效率和效益。</w:t>
      </w:r>
    </w:p>
    <w:p>
      <w:pPr>
        <w:pStyle w:val="7"/>
        <w:adjustRightInd w:val="0"/>
        <w:snapToGrid w:val="0"/>
        <w:spacing w:line="360" w:lineRule="auto"/>
        <w:ind w:firstLine="640" w:firstLineChars="200"/>
        <w:jc w:val="both"/>
        <w:rPr>
          <w:rFonts w:hint="eastAsia" w:ascii="仿宋_GB2312" w:hAnsi="仿宋" w:eastAsia="仿宋_GB2312" w:cs="仿宋"/>
          <w:color w:val="000000"/>
          <w:sz w:val="32"/>
          <w:szCs w:val="32"/>
          <w:lang w:val="en-US" w:bidi="ar"/>
        </w:rPr>
      </w:pPr>
      <w:r>
        <w:rPr>
          <w:rFonts w:hint="eastAsia" w:ascii="仿宋_GB2312" w:hAnsi="仿宋" w:eastAsia="仿宋_GB2312" w:cs="仿宋"/>
          <w:color w:val="000000"/>
          <w:sz w:val="32"/>
          <w:szCs w:val="32"/>
          <w:lang w:val="en-US" w:bidi="ar"/>
        </w:rPr>
        <w:t>示范带动、重点突破。根据县域水资源条件、产业结构和用水水平，着眼重点领域,建设节水示范载体。强化示范引领和辐射带动作用，以点带面，促进节水型社会建设。</w:t>
      </w:r>
    </w:p>
    <w:p>
      <w:pPr>
        <w:pStyle w:val="7"/>
        <w:adjustRightInd w:val="0"/>
        <w:snapToGrid w:val="0"/>
        <w:spacing w:line="360" w:lineRule="auto"/>
        <w:ind w:firstLine="640" w:firstLineChars="200"/>
        <w:jc w:val="both"/>
        <w:rPr>
          <w:rFonts w:hint="eastAsia" w:ascii="仿宋_GB2312" w:hAnsi="仿宋" w:eastAsia="仿宋_GB2312" w:cs="仿宋"/>
          <w:color w:val="000000"/>
          <w:sz w:val="32"/>
          <w:szCs w:val="32"/>
          <w:lang w:val="en-US" w:bidi="ar"/>
        </w:rPr>
      </w:pPr>
      <w:r>
        <w:rPr>
          <w:rFonts w:hint="eastAsia" w:ascii="仿宋_GB2312" w:hAnsi="仿宋" w:eastAsia="仿宋_GB2312" w:cs="仿宋"/>
          <w:color w:val="000000"/>
          <w:sz w:val="32"/>
          <w:szCs w:val="32"/>
          <w:lang w:val="en-US" w:bidi="ar"/>
        </w:rPr>
        <w:t>政府引领、两手发力。充分发挥政府在节水型社会建设中的引导、组织、协调和推动作用，规范和引导全社会用水行为，突出节水制度创新，健全节水激励机制，发挥市场在资源配置中的决定性作用，激发全社会节水内生动力。</w:t>
      </w:r>
    </w:p>
    <w:p>
      <w:pPr>
        <w:pStyle w:val="7"/>
        <w:adjustRightInd w:val="0"/>
        <w:snapToGrid w:val="0"/>
        <w:spacing w:line="360" w:lineRule="auto"/>
        <w:ind w:firstLine="640" w:firstLineChars="200"/>
        <w:jc w:val="both"/>
        <w:rPr>
          <w:rFonts w:ascii="仿宋_GB2312" w:hAnsi="仿宋" w:eastAsia="仿宋_GB2312" w:cs="仿宋"/>
          <w:color w:val="000000"/>
          <w:sz w:val="32"/>
          <w:szCs w:val="32"/>
          <w:lang w:val="en-US" w:bidi="ar"/>
        </w:rPr>
      </w:pPr>
      <w:r>
        <w:rPr>
          <w:rFonts w:hint="eastAsia" w:ascii="仿宋_GB2312" w:hAnsi="仿宋" w:eastAsia="仿宋_GB2312" w:cs="仿宋"/>
          <w:color w:val="000000"/>
          <w:sz w:val="32"/>
          <w:szCs w:val="32"/>
          <w:lang w:val="en-US" w:bidi="ar"/>
        </w:rPr>
        <w:t>全民参与、自觉节水。加强节水宣传，强化节约用水、依法用水、有偿用水意识，增强全民水忧患意识，自觉参与节水型社会建设。</w:t>
      </w:r>
      <w:bookmarkStart w:id="2" w:name="二、建设目标"/>
      <w:bookmarkEnd w:id="2"/>
    </w:p>
    <w:p>
      <w:pPr>
        <w:pStyle w:val="13"/>
        <w:keepNext/>
        <w:widowControl/>
        <w:overflowPunct w:val="0"/>
        <w:topLinePunct/>
        <w:autoSpaceDE/>
        <w:autoSpaceDN/>
        <w:spacing w:line="360" w:lineRule="auto"/>
        <w:ind w:left="0" w:right="0"/>
        <w:rPr>
          <w:rFonts w:hint="eastAsia" w:ascii="仿宋_GB2312"/>
          <w:b/>
          <w:sz w:val="32"/>
          <w:szCs w:val="32"/>
        </w:rPr>
      </w:pPr>
      <w:r>
        <w:rPr>
          <w:rFonts w:hint="eastAsia" w:ascii="仿宋_GB2312"/>
          <w:b/>
          <w:sz w:val="32"/>
          <w:szCs w:val="32"/>
        </w:rPr>
        <w:t>二、总体要求</w:t>
      </w:r>
    </w:p>
    <w:p>
      <w:pPr>
        <w:adjustRightInd w:val="0"/>
        <w:snapToGrid w:val="0"/>
        <w:spacing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全面落实《策勒县县域节水型社会达标建设实施方案》，各级党委、人民政府和各部门引起高度重视，各个成员单位各尽其责，积极配合策勒县水利局做好达标建设工作，负责把实施方案落实到实处，顺利通过水利部县域节水型社会达标建设的现场复核。</w:t>
      </w:r>
    </w:p>
    <w:p>
      <w:pPr>
        <w:pStyle w:val="13"/>
        <w:keepNext/>
        <w:widowControl/>
        <w:overflowPunct w:val="0"/>
        <w:topLinePunct/>
        <w:autoSpaceDE/>
        <w:autoSpaceDN/>
        <w:spacing w:line="360" w:lineRule="auto"/>
        <w:ind w:left="0" w:right="0"/>
        <w:rPr>
          <w:rFonts w:ascii="仿宋_GB2312"/>
          <w:b/>
          <w:sz w:val="32"/>
          <w:szCs w:val="32"/>
        </w:rPr>
      </w:pPr>
      <w:r>
        <w:rPr>
          <w:rFonts w:hint="eastAsia" w:ascii="仿宋_GB2312"/>
          <w:b/>
          <w:sz w:val="32"/>
          <w:szCs w:val="32"/>
        </w:rPr>
        <w:t>三、建设目标</w:t>
      </w:r>
    </w:p>
    <w:p>
      <w:pPr>
        <w:pStyle w:val="11"/>
        <w:keepNext/>
        <w:widowControl/>
        <w:overflowPunct w:val="0"/>
        <w:topLinePunct/>
        <w:autoSpaceDE/>
        <w:autoSpaceDN/>
        <w:spacing w:line="360" w:lineRule="auto"/>
        <w:ind w:left="0" w:firstLine="643"/>
        <w:rPr>
          <w:rFonts w:ascii="仿宋_GB2312" w:hAnsi="仿宋" w:cs="仿宋"/>
          <w:b/>
          <w:bCs/>
          <w:color w:val="auto"/>
        </w:rPr>
      </w:pPr>
      <w:r>
        <w:rPr>
          <w:rFonts w:hint="eastAsia" w:ascii="仿宋_GB2312" w:hAnsi="仿宋" w:cs="仿宋"/>
          <w:b/>
          <w:bCs/>
          <w:color w:val="auto"/>
        </w:rPr>
        <w:t>（一）总体目标</w:t>
      </w:r>
    </w:p>
    <w:p>
      <w:pPr>
        <w:adjustRightInd w:val="0"/>
        <w:snapToGrid w:val="0"/>
        <w:spacing w:line="360" w:lineRule="auto"/>
        <w:ind w:firstLine="640" w:firstLineChars="200"/>
        <w:jc w:val="both"/>
        <w:rPr>
          <w:rFonts w:ascii="仿宋_GB2312" w:eastAsia="仿宋_GB2312"/>
          <w:color w:val="auto"/>
          <w:spacing w:val="-6"/>
          <w:sz w:val="32"/>
          <w:szCs w:val="32"/>
        </w:rPr>
      </w:pPr>
      <w:r>
        <w:rPr>
          <w:rFonts w:hint="eastAsia" w:ascii="仿宋_GB2312" w:hAnsi="仿宋" w:eastAsia="仿宋_GB2312" w:cs="仿宋"/>
          <w:color w:val="auto"/>
          <w:sz w:val="32"/>
          <w:szCs w:val="32"/>
        </w:rPr>
        <w:t>按照《关于开展县域节水型社会达标建设工作的通知》（新水办政资〔2017〕18号）的要求</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lang w:val="en-US" w:eastAsia="zh-CN"/>
        </w:rPr>
        <w:t>目前按照现有节水型社会评价标准进行评价，如后期有新标准，届时按新标准进行评价</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，结合我</w:t>
      </w:r>
      <w:r>
        <w:rPr>
          <w:rFonts w:hint="eastAsia" w:ascii="仿宋_GB2312" w:hAnsi="仿宋" w:eastAsia="仿宋_GB2312" w:cs="仿宋"/>
          <w:color w:val="auto"/>
          <w:sz w:val="32"/>
          <w:szCs w:val="32"/>
          <w:lang w:val="en-US"/>
        </w:rPr>
        <w:t>县</w:t>
      </w:r>
      <w:r>
        <w:rPr>
          <w:rFonts w:hint="eastAsia" w:ascii="仿宋_GB2312" w:hAnsi="仿宋" w:eastAsia="仿宋_GB2312" w:cs="仿宋"/>
          <w:color w:val="auto"/>
          <w:sz w:val="32"/>
          <w:szCs w:val="32"/>
        </w:rPr>
        <w:t>实际，逐步将全</w:t>
      </w:r>
      <w:r>
        <w:rPr>
          <w:rFonts w:hint="eastAsia" w:ascii="仿宋_GB2312" w:hAnsi="仿宋" w:eastAsia="仿宋_GB2312" w:cs="仿宋"/>
          <w:color w:val="auto"/>
          <w:sz w:val="32"/>
          <w:szCs w:val="32"/>
          <w:lang w:val="en-US" w:eastAsia="zh-CN"/>
        </w:rPr>
        <w:t>县</w:t>
      </w:r>
      <w:r>
        <w:rPr>
          <w:rFonts w:hint="eastAsia" w:ascii="仿宋_GB2312" w:hAnsi="仿宋" w:eastAsia="仿宋_GB2312" w:cs="仿宋"/>
          <w:color w:val="auto"/>
          <w:sz w:val="32"/>
          <w:szCs w:val="32"/>
        </w:rPr>
        <w:t>重点用水企业、公共机构、小区建设成节水型载体，力争2023年底完成</w:t>
      </w:r>
      <w:r>
        <w:rPr>
          <w:rFonts w:hint="eastAsia" w:ascii="仿宋_GB2312" w:hAnsi="仿宋" w:eastAsia="仿宋_GB2312" w:cs="仿宋"/>
          <w:color w:val="auto"/>
          <w:sz w:val="32"/>
          <w:szCs w:val="32"/>
          <w:lang w:val="en-US" w:eastAsia="zh-CN"/>
        </w:rPr>
        <w:t>县</w:t>
      </w:r>
      <w:r>
        <w:rPr>
          <w:rFonts w:hint="eastAsia" w:ascii="仿宋_GB2312" w:hAnsi="仿宋" w:eastAsia="仿宋_GB2312" w:cs="仿宋"/>
          <w:color w:val="auto"/>
          <w:sz w:val="32"/>
          <w:szCs w:val="32"/>
        </w:rPr>
        <w:t>节水型社会达标建设，并通过自治区水利厅技术评估和现场验收，上报水利部完成备案。2024年顺利通过水利部县域节水型社会达标建设的现场复核</w:t>
      </w:r>
      <w:r>
        <w:rPr>
          <w:rFonts w:hint="eastAsia" w:ascii="仿宋_GB2312" w:eastAsia="仿宋_GB2312"/>
          <w:color w:val="auto"/>
          <w:spacing w:val="-6"/>
          <w:sz w:val="32"/>
          <w:szCs w:val="32"/>
        </w:rPr>
        <w:t>。</w:t>
      </w:r>
    </w:p>
    <w:p>
      <w:pPr>
        <w:pStyle w:val="11"/>
        <w:keepNext/>
        <w:widowControl/>
        <w:overflowPunct w:val="0"/>
        <w:topLinePunct/>
        <w:autoSpaceDE/>
        <w:autoSpaceDN/>
        <w:spacing w:line="360" w:lineRule="auto"/>
        <w:ind w:left="0" w:firstLine="643"/>
        <w:rPr>
          <w:rFonts w:ascii="仿宋_GB2312" w:hAnsi="仿宋" w:cs="仿宋"/>
          <w:b/>
          <w:bCs/>
        </w:rPr>
      </w:pPr>
      <w:r>
        <w:rPr>
          <w:rFonts w:hint="eastAsia" w:ascii="仿宋_GB2312" w:hAnsi="仿宋" w:cs="仿宋"/>
          <w:b/>
          <w:bCs/>
        </w:rPr>
        <w:t>（二）主要指标</w:t>
      </w:r>
    </w:p>
    <w:p>
      <w:pPr>
        <w:adjustRightInd w:val="0"/>
        <w:snapToGrid w:val="0"/>
        <w:spacing w:line="360" w:lineRule="auto"/>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1、农业节水目标</w:t>
      </w:r>
    </w:p>
    <w:p>
      <w:pPr>
        <w:adjustRightInd w:val="0"/>
        <w:snapToGrid w:val="0"/>
        <w:spacing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强化农业节水，加快农业工程建设和高效节水建设管理转型升级，以建设节水型社会为突破口，综合运用工程性与管理性节水措施，提升高效带水发展水平。实现高效节水灌溉率≥40%、农业灌溉用水计量率≥8</w:t>
      </w:r>
      <w:r>
        <w:rPr>
          <w:rFonts w:hint="eastAsia" w:ascii="仿宋_GB2312" w:hAnsi="仿宋" w:eastAsia="仿宋_GB2312" w:cs="仿宋"/>
          <w:sz w:val="32"/>
          <w:szCs w:val="32"/>
          <w:lang w:val="en-US"/>
        </w:rPr>
        <w:t>0</w:t>
      </w:r>
      <w:r>
        <w:rPr>
          <w:rFonts w:hint="eastAsia" w:ascii="仿宋_GB2312" w:hAnsi="仿宋" w:eastAsia="仿宋_GB2312" w:cs="仿宋"/>
          <w:sz w:val="32"/>
          <w:szCs w:val="32"/>
        </w:rPr>
        <w:t>%</w:t>
      </w:r>
    </w:p>
    <w:p>
      <w:pPr>
        <w:adjustRightInd w:val="0"/>
        <w:snapToGrid w:val="0"/>
        <w:spacing w:line="360" w:lineRule="auto"/>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2、工业节水目标</w:t>
      </w:r>
    </w:p>
    <w:p>
      <w:pPr>
        <w:adjustRightInd w:val="0"/>
        <w:snapToGrid w:val="0"/>
        <w:spacing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完善高耗水行业取水定额标准，采用先进用水工艺技术提高重复利用率，推广合同制节水，严格各行业用水定额计划管理，开展重点用水行业节水工作，实现工业用水计量率达100%，节水型企业建成率≥50%。</w:t>
      </w:r>
    </w:p>
    <w:p>
      <w:pPr>
        <w:adjustRightInd w:val="0"/>
        <w:snapToGrid w:val="0"/>
        <w:spacing w:line="360" w:lineRule="auto"/>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3、生活节水目标</w:t>
      </w:r>
    </w:p>
    <w:p>
      <w:pPr>
        <w:adjustRightInd w:val="0"/>
        <w:snapToGrid w:val="0"/>
        <w:spacing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加强城市生产生活节水，公共场所和新建小区居民家庭全部采用节水器具，加快完成全县公共供水管网漏损排查，重点对城镇老旧供水管网进行改造，实现公共供水管网漏损率≤10%，节水型居民小区建成率≥20%、公共机构节水型单位建成率≥50%。</w:t>
      </w:r>
    </w:p>
    <w:p>
      <w:pPr>
        <w:adjustRightInd w:val="0"/>
        <w:snapToGrid w:val="0"/>
        <w:spacing w:line="360" w:lineRule="auto"/>
        <w:ind w:firstLine="643" w:firstLineChars="200"/>
        <w:jc w:val="both"/>
        <w:rPr>
          <w:rFonts w:ascii="仿宋_GB2312" w:hAnsi="仿宋" w:eastAsia="仿宋_GB2312" w:cs="仿宋"/>
          <w:b/>
          <w:bCs/>
          <w:sz w:val="32"/>
          <w:szCs w:val="32"/>
        </w:rPr>
      </w:pPr>
      <w:r>
        <w:rPr>
          <w:rFonts w:hint="eastAsia" w:ascii="仿宋_GB2312" w:hAnsi="仿宋" w:eastAsia="仿宋_GB2312" w:cs="仿宋"/>
          <w:b/>
          <w:bCs/>
          <w:sz w:val="32"/>
          <w:szCs w:val="32"/>
        </w:rPr>
        <w:t>4、生态节水目标</w:t>
      </w:r>
    </w:p>
    <w:p>
      <w:pPr>
        <w:adjustRightInd w:val="0"/>
        <w:snapToGrid w:val="0"/>
        <w:spacing w:line="360" w:lineRule="auto"/>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强化城镇生活污水治理，实现排污口达标排放，加快城镇生活污水处理系统建设与改造，新建设施的配套管网同步设计、同步建设，同步全面投运，推行城镇中水利用示范工程，实现再生水利用率≥</w:t>
      </w:r>
      <w:r>
        <w:rPr>
          <w:rFonts w:hint="eastAsia" w:ascii="仿宋_GB2312" w:hAnsi="仿宋" w:eastAsia="仿宋_GB2312" w:cs="仿宋"/>
          <w:sz w:val="32"/>
          <w:szCs w:val="32"/>
          <w:lang w:val="en-US"/>
        </w:rPr>
        <w:t>2</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w:t>
      </w:r>
    </w:p>
    <w:p>
      <w:pPr>
        <w:pStyle w:val="13"/>
        <w:keepNext/>
        <w:widowControl/>
        <w:overflowPunct w:val="0"/>
        <w:topLinePunct/>
        <w:autoSpaceDE/>
        <w:autoSpaceDN/>
        <w:spacing w:line="360" w:lineRule="auto"/>
        <w:ind w:left="0" w:right="0"/>
        <w:rPr>
          <w:rFonts w:hint="eastAsia" w:ascii="仿宋_GB2312"/>
          <w:b/>
          <w:sz w:val="32"/>
          <w:szCs w:val="32"/>
        </w:rPr>
      </w:pPr>
      <w:r>
        <w:rPr>
          <w:rFonts w:hint="eastAsia" w:ascii="仿宋_GB2312"/>
          <w:b/>
          <w:sz w:val="32"/>
          <w:szCs w:val="32"/>
        </w:rPr>
        <w:t>四、重点任务</w:t>
      </w:r>
    </w:p>
    <w:p>
      <w:pPr>
        <w:pStyle w:val="11"/>
        <w:keepNext/>
        <w:widowControl/>
        <w:overflowPunct w:val="0"/>
        <w:topLinePunct/>
        <w:autoSpaceDE/>
        <w:autoSpaceDN/>
        <w:spacing w:line="360" w:lineRule="auto"/>
        <w:ind w:left="0" w:firstLine="643"/>
        <w:rPr>
          <w:rFonts w:hint="eastAsia" w:ascii="仿宋_GB2312" w:hAnsi="仿宋" w:eastAsia="仿宋_GB2312" w:cs="仿宋"/>
          <w:b w:val="0"/>
          <w:bCs w:val="0"/>
          <w:kern w:val="0"/>
          <w:sz w:val="32"/>
          <w:szCs w:val="32"/>
          <w:lang w:val="zh-CN" w:eastAsia="zh-CN" w:bidi="zh-CN"/>
        </w:rPr>
      </w:pPr>
      <w:r>
        <w:rPr>
          <w:rFonts w:hint="eastAsia" w:ascii="仿宋_GB2312" w:hAnsi="仿宋" w:eastAsia="仿宋_GB2312" w:cs="仿宋"/>
          <w:b w:val="0"/>
          <w:bCs w:val="0"/>
          <w:kern w:val="0"/>
          <w:sz w:val="32"/>
          <w:szCs w:val="32"/>
          <w:lang w:val="zh-CN" w:eastAsia="zh-CN" w:bidi="zh-CN"/>
        </w:rPr>
        <w:t>(一)严格落实水资源管理各项制度，实现依法管水</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1.实行定额管理，实现区域用水总量强度双控。在水资源论证、取水许可、节水载体认定等工作中严格执行用水定额，将计划用水与定额管理紧密结合，把万元国内生产总值用水量、万元工业增加值用水量、农业灌溉用水量和农田灌溉水有效利用系数逐级分解，明确区域用水强度控制要求，强化行业和产品用水强度控制，全面推进节水型社会建设。</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2.加强计划管理，强化取用水过程监管。根据全县经济社会发展用水实际，结合取用水单位生产能力、水权指标及用水定额，将用水总量计划指标分解到各行业各单位，使城镇非居民用水单位计划用水管理率达到100%，做到以水定产、以水定需，量水而行、因水制宜。</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3.强化计量管理，实现精准计量。农业灌溉用水计量率要达到80%以上，工业用水计量率达到100%(规模以上工业企业用水计量率必须达到100%)，其他各行业要全部实现计量用水。</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4.落实有偿使用制度，依法征收水资源费。加强取用水过程监督，精准建立取水台账，按标准足额征收水资源费，做到应收尽收，水资源费征收率达到100%。</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5.落实节水“三同时”制度，把好项目审批关口。有项目审批权的单位要严把节水“同时设计、同时施工、同时投产”制度审批关口，新(改、扩)建项目全面落实节水设施“同时设计、同时施工、同时投产制度”。凡不符合节水“三同时”要求的项目审批单位一律不予审批，不得投产建设，验收单位对违反节水“三同时”制度的项目一律不予验收，并责令整改到位。</w:t>
      </w:r>
    </w:p>
    <w:p>
      <w:pPr>
        <w:pStyle w:val="11"/>
        <w:keepNext/>
        <w:widowControl/>
        <w:overflowPunct w:val="0"/>
        <w:topLinePunct/>
        <w:autoSpaceDE/>
        <w:autoSpaceDN/>
        <w:spacing w:line="360" w:lineRule="auto"/>
        <w:ind w:left="0" w:firstLine="643"/>
        <w:rPr>
          <w:rFonts w:hint="eastAsia" w:ascii="仿宋_GB2312" w:hAnsi="仿宋" w:cs="仿宋"/>
          <w:b/>
          <w:bCs/>
          <w:color w:val="auto"/>
          <w:highlight w:val="none"/>
          <w:shd w:val="clear" w:color="auto" w:fill="auto"/>
        </w:rPr>
      </w:pPr>
      <w:r>
        <w:rPr>
          <w:rFonts w:hint="eastAsia" w:ascii="仿宋_GB2312" w:hAnsi="仿宋" w:cs="仿宋"/>
          <w:b/>
          <w:bCs/>
          <w:color w:val="auto"/>
          <w:highlight w:val="none"/>
          <w:shd w:val="clear" w:color="auto" w:fill="auto"/>
        </w:rPr>
        <w:t>(二)推进水价改革，不断完善节水机制</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充分发挥价格杠杆对促进节水的作用，建立健全水价形成机制。各相关职能单位要严格按照自治区农业水价综合改革实施方案，抓好各自工作落实，深入推进农业水价综合改革，推进农业水权制度建设，建立农业用水精准补贴和节水奖励机制，确保完成既定目标任务。全面实行居民用水阶梯水价政策，严格执行非居民用水超计划超定额累进加价制度。</w:t>
      </w:r>
    </w:p>
    <w:p>
      <w:pPr>
        <w:pStyle w:val="11"/>
        <w:keepNext/>
        <w:widowControl/>
        <w:overflowPunct w:val="0"/>
        <w:topLinePunct/>
        <w:autoSpaceDE/>
        <w:autoSpaceDN/>
        <w:spacing w:line="360" w:lineRule="auto"/>
        <w:ind w:left="0" w:firstLine="643"/>
        <w:rPr>
          <w:rFonts w:hint="eastAsia" w:ascii="仿宋_GB2312" w:hAnsi="仿宋" w:cs="仿宋"/>
          <w:b/>
          <w:bCs/>
          <w:color w:val="auto"/>
          <w:highlight w:val="none"/>
          <w:shd w:val="clear" w:color="auto" w:fill="auto"/>
        </w:rPr>
      </w:pPr>
      <w:r>
        <w:rPr>
          <w:rFonts w:hint="eastAsia" w:ascii="仿宋_GB2312" w:hAnsi="仿宋" w:cs="仿宋"/>
          <w:b/>
          <w:bCs/>
          <w:color w:val="auto"/>
          <w:highlight w:val="none"/>
          <w:shd w:val="clear" w:color="auto" w:fill="auto"/>
        </w:rPr>
        <w:t>(三)建设节水载体，全面推进各行业节水</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通过工程措施科学配置，合理调配地表水与地下水，新鲜水与再生水，发挥水资源的综合效益。加大对现有水资源利用设施的配套和节水改造，推广使用高效用水设施和技术，完善水资源高效利用工程技术体系。开展农业节水增产、工业节水增效、城镇节水降耗等节水行动，强化行业总量和强度控制，全面推进各行业节水。</w:t>
      </w:r>
    </w:p>
    <w:p>
      <w:pPr>
        <w:adjustRightInd w:val="0"/>
        <w:snapToGrid w:val="0"/>
        <w:spacing w:line="360" w:lineRule="auto"/>
        <w:ind w:firstLine="640" w:firstLineChars="200"/>
        <w:jc w:val="both"/>
        <w:rPr>
          <w:rFonts w:hint="eastAsia" w:ascii="仿宋_GB2312" w:hAnsi="微软雅黑" w:eastAsia="仿宋_GB2312"/>
          <w:color w:val="auto"/>
          <w:sz w:val="32"/>
          <w:szCs w:val="32"/>
          <w:highlight w:val="none"/>
          <w:shd w:val="clear" w:color="auto" w:fill="auto"/>
          <w:lang w:val="en-US" w:bidi="ar-SA"/>
        </w:rPr>
      </w:pPr>
      <w:r>
        <w:rPr>
          <w:rFonts w:hint="eastAsia" w:ascii="仿宋_GB2312" w:hAnsi="仿宋" w:eastAsia="仿宋_GB2312" w:cs="仿宋"/>
          <w:b w:val="0"/>
          <w:bCs w:val="0"/>
          <w:kern w:val="0"/>
          <w:sz w:val="32"/>
          <w:szCs w:val="32"/>
          <w:lang w:val="en-US" w:eastAsia="zh-CN" w:bidi="zh-CN"/>
        </w:rPr>
        <w:t>1.农业节水。积极发展节水型林果业和养殖业，优化用水结构，提高农业用水总体保障水平。通过优化种植业结构、大力发展旱作节水农业，积极落实农业节水增产行动。推广喷灌、微灌、滴灌、低压管道输水灌溉等节水灌溉新技术，推进老旧灌区节水改造，加快农业节水工程建设，开展节水型灌区建设，提高农业用水效率。强化农业用水管理和监督，明确农业节水工程设施管护主体，落实</w:t>
      </w:r>
      <w:r>
        <w:rPr>
          <w:rFonts w:hint="eastAsia" w:ascii="仿宋_GB2312" w:hAnsi="微软雅黑" w:eastAsia="仿宋_GB2312"/>
          <w:color w:val="auto"/>
          <w:sz w:val="32"/>
          <w:szCs w:val="32"/>
          <w:highlight w:val="none"/>
          <w:shd w:val="clear" w:color="auto" w:fill="auto"/>
          <w:lang w:val="en-US" w:bidi="ar-SA"/>
        </w:rPr>
        <w:t>管护责任，合理确定灌溉用水定额，完善农业用水计量设施，农业灌溉用水计量率达到80%以上，推行灌溉用水总量控制和定额管理。积极推行农业节水信息化，在有条件的灌区实行灌溉用水自动化、数字化管理。</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2.工业节水。推进工业节水技术改造，引导企业推广高效循环用水、废污水再生利用、高耗水生产工艺替代等节水工艺和技术，开展节水减污增效活动，促进工业废水“零排放”。完善企业节水管理制度，建立科学合理的节水管理岗位责任制，健全企业节水管理机构和人员，实施企业内部节水评价, 加强节水目标责任管理和考核。新(改、扩) 建项目严格执行节水“三同时”制度。加快智能水表推广使用，鼓励重点监控用水企业建立用水量在线采集、实时监测的管控系统。到2023年，全县节水型企业建成率达到 50% 以上。</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3.公共机构节水。进一步完善公共机构节水管理制度，建立健全节水管理岗位责任制，强化节水日常管理，加强公共机构节水宣传，在各类用水场所张贴节水宣传标识标语，实现节水宣传与管理并重。创建节水型公共机构，要加强机关单位、医院、学校等公共机构日常节水管理，完善内部管理规章制度，加快推广节水技术改造，2023年节水型公共机构达到50%以上。</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4.城镇生活节水。加快节水型居民小区建设，新建小区各项用水器具必须达到国家相关节水标准，积极推进对老旧小区的节水化改造，2023年居民小区达到节水型居民小区建设标准的20%以上。强化洗浴、洗车、宾馆、饭店、餐饮服务业等行业的用水节水管理。</w:t>
      </w:r>
    </w:p>
    <w:p>
      <w:pPr>
        <w:pStyle w:val="11"/>
        <w:keepNext/>
        <w:widowControl/>
        <w:overflowPunct w:val="0"/>
        <w:topLinePunct/>
        <w:autoSpaceDE/>
        <w:autoSpaceDN/>
        <w:spacing w:line="360" w:lineRule="auto"/>
        <w:ind w:left="0" w:firstLine="643"/>
        <w:rPr>
          <w:rFonts w:hint="eastAsia" w:ascii="仿宋_GB2312" w:hAnsi="仿宋" w:cs="仿宋"/>
          <w:b/>
          <w:bCs/>
          <w:color w:val="auto"/>
          <w:highlight w:val="none"/>
          <w:shd w:val="clear" w:color="auto" w:fill="auto"/>
        </w:rPr>
      </w:pPr>
      <w:r>
        <w:rPr>
          <w:rFonts w:hint="eastAsia" w:ascii="仿宋_GB2312" w:hAnsi="仿宋" w:cs="仿宋"/>
          <w:b/>
          <w:bCs/>
          <w:color w:val="auto"/>
          <w:highlight w:val="none"/>
          <w:shd w:val="clear" w:color="auto" w:fill="auto"/>
        </w:rPr>
        <w:t>(四)降低公共供水管网漏损率，提高用水效率</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科学规划布设城镇公共供水管网，大力改造老旧网管，加快供水管网改造工程进度，完善供水管网检漏、维修、抢修制度，加强公共供水系统运行监督管理，提高用水效率。2023年城镇公共供水管网漏损率控制在10%以内。</w:t>
      </w:r>
    </w:p>
    <w:p>
      <w:pPr>
        <w:pStyle w:val="11"/>
        <w:keepNext/>
        <w:widowControl/>
        <w:overflowPunct w:val="0"/>
        <w:topLinePunct/>
        <w:autoSpaceDE/>
        <w:autoSpaceDN/>
        <w:spacing w:line="360" w:lineRule="auto"/>
        <w:ind w:left="0" w:firstLine="643"/>
        <w:rPr>
          <w:rFonts w:hint="eastAsia" w:ascii="仿宋_GB2312" w:hAnsi="仿宋" w:cs="仿宋"/>
          <w:b/>
          <w:bCs/>
          <w:color w:val="auto"/>
          <w:highlight w:val="none"/>
          <w:shd w:val="clear" w:color="auto" w:fill="auto"/>
        </w:rPr>
      </w:pPr>
      <w:r>
        <w:rPr>
          <w:rFonts w:hint="eastAsia" w:ascii="仿宋_GB2312" w:hAnsi="仿宋" w:cs="仿宋"/>
          <w:b/>
          <w:bCs/>
          <w:color w:val="auto"/>
          <w:highlight w:val="none"/>
          <w:shd w:val="clear" w:color="auto" w:fill="auto"/>
        </w:rPr>
        <w:t>(五)广泛推广节水型器具和产品</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严格执行国家节水型生活用水器具标准。城镇所有新建、改建和扩建的公共和民用建筑应采用符合节水标准的用水器具，公共场所和新建小区居民家庭全部使用节水器具。在政府采购中，必须采购符合水效标准和其他节水标准的用水器具。</w:t>
      </w:r>
    </w:p>
    <w:p>
      <w:pPr>
        <w:pStyle w:val="11"/>
        <w:keepNext/>
        <w:widowControl/>
        <w:overflowPunct w:val="0"/>
        <w:topLinePunct/>
        <w:autoSpaceDE/>
        <w:autoSpaceDN/>
        <w:spacing w:line="360" w:lineRule="auto"/>
        <w:ind w:left="0" w:firstLine="643"/>
        <w:rPr>
          <w:rFonts w:hint="eastAsia" w:ascii="仿宋_GB2312" w:hAnsi="仿宋" w:cs="仿宋"/>
          <w:b/>
          <w:bCs/>
          <w:color w:val="auto"/>
          <w:highlight w:val="none"/>
          <w:shd w:val="clear" w:color="auto" w:fill="auto"/>
          <w:lang w:val="en-US"/>
        </w:rPr>
      </w:pPr>
      <w:r>
        <w:rPr>
          <w:rFonts w:hint="eastAsia" w:ascii="仿宋_GB2312" w:hAnsi="仿宋" w:cs="仿宋"/>
          <w:b/>
          <w:bCs/>
          <w:color w:val="auto"/>
          <w:highlight w:val="none"/>
          <w:shd w:val="clear" w:color="auto" w:fill="auto"/>
          <w:lang w:val="en-US"/>
        </w:rPr>
        <w:t>(</w:t>
      </w:r>
      <w:r>
        <w:rPr>
          <w:rFonts w:hint="eastAsia" w:ascii="仿宋_GB2312" w:hAnsi="仿宋" w:cs="仿宋"/>
          <w:b/>
          <w:bCs/>
          <w:color w:val="auto"/>
          <w:highlight w:val="none"/>
          <w:shd w:val="clear" w:color="auto" w:fill="auto"/>
        </w:rPr>
        <w:t>六</w:t>
      </w:r>
      <w:r>
        <w:rPr>
          <w:rFonts w:hint="eastAsia" w:ascii="仿宋_GB2312" w:hAnsi="仿宋" w:cs="仿宋"/>
          <w:b/>
          <w:bCs/>
          <w:color w:val="auto"/>
          <w:highlight w:val="none"/>
          <w:shd w:val="clear" w:color="auto" w:fill="auto"/>
          <w:lang w:val="en-US"/>
        </w:rPr>
        <w:t>)</w:t>
      </w:r>
      <w:r>
        <w:rPr>
          <w:rFonts w:hint="eastAsia" w:ascii="仿宋_GB2312" w:hAnsi="仿宋" w:cs="仿宋"/>
          <w:b/>
          <w:bCs/>
          <w:color w:val="auto"/>
          <w:highlight w:val="none"/>
          <w:shd w:val="clear" w:color="auto" w:fill="auto"/>
        </w:rPr>
        <w:t>利用好再生水</w:t>
      </w:r>
      <w:r>
        <w:rPr>
          <w:rFonts w:hint="eastAsia" w:ascii="仿宋_GB2312" w:hAnsi="仿宋" w:cs="仿宋"/>
          <w:b/>
          <w:bCs/>
          <w:color w:val="auto"/>
          <w:highlight w:val="none"/>
          <w:shd w:val="clear" w:color="auto" w:fill="auto"/>
          <w:lang w:val="en-US"/>
        </w:rPr>
        <w:t>，</w:t>
      </w:r>
      <w:r>
        <w:rPr>
          <w:rFonts w:hint="eastAsia" w:ascii="仿宋_GB2312" w:hAnsi="仿宋" w:cs="仿宋"/>
          <w:b/>
          <w:bCs/>
          <w:color w:val="auto"/>
          <w:highlight w:val="none"/>
          <w:shd w:val="clear" w:color="auto" w:fill="auto"/>
        </w:rPr>
        <w:t>构建多元用水格局</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提升污水收集和处理能力，把中水利用作为节约用水的重要内容纳入水资源统一配置，鼓励和支持再生水开发利用。城市建设要考虑建设再生水利用系统，加快建设中水利用设施，出台中水替代新水优惠政策。工业生产、城市绿化、道路清扫、车辆冲洗、建筑施工及生态景观等领域优先使用符合行业标准的再生水。城市绿化、道路清扫等严禁取用地下水，对现有自备井一律关闭。2023年再生水利用率达到20%以上。</w:t>
      </w:r>
    </w:p>
    <w:p>
      <w:pPr>
        <w:pStyle w:val="11"/>
        <w:keepNext/>
        <w:widowControl/>
        <w:overflowPunct w:val="0"/>
        <w:topLinePunct/>
        <w:autoSpaceDE/>
        <w:autoSpaceDN/>
        <w:spacing w:line="360" w:lineRule="auto"/>
        <w:ind w:left="0" w:firstLine="643"/>
        <w:rPr>
          <w:rFonts w:hint="eastAsia" w:ascii="仿宋_GB2312" w:hAnsi="仿宋" w:cs="仿宋"/>
          <w:b/>
          <w:bCs/>
          <w:color w:val="auto"/>
          <w:highlight w:val="none"/>
          <w:shd w:val="clear" w:color="auto" w:fill="auto"/>
          <w:lang w:val="en-US"/>
        </w:rPr>
      </w:pPr>
      <w:r>
        <w:rPr>
          <w:rFonts w:hint="eastAsia" w:ascii="仿宋_GB2312" w:hAnsi="仿宋" w:cs="仿宋"/>
          <w:b/>
          <w:bCs/>
          <w:color w:val="auto"/>
          <w:highlight w:val="none"/>
          <w:shd w:val="clear" w:color="auto" w:fill="auto"/>
          <w:lang w:val="en-US"/>
        </w:rPr>
        <w:t>(七)深入开展宣传教育，提高公众节水意识</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创新节水宣传方式,积极开展宣传活动，营造全民参与、全民节水的社会氛围。充分利用各类媒体，结合“世界水日”“中国水周”“全国城市节约用水宣传周”等深入开展形式多样、群众喜闻乐见的节水宣传，广泛宣传节水型社会建设意义、成果及典型案例，强化节水护水的舆论导向。充分发挥全县各类节水示范载体、平台作用，因地制宜开展节水教育社会实践活动，普及水情和节水知识。鼓励和引导公众自觉参与爱水、节水、护水行动，增强居民节水意识，形成节约用水的生活和生产方式。</w:t>
      </w:r>
    </w:p>
    <w:p>
      <w:pPr>
        <w:pStyle w:val="13"/>
        <w:keepNext/>
        <w:widowControl/>
        <w:overflowPunct w:val="0"/>
        <w:topLinePunct/>
        <w:autoSpaceDE/>
        <w:autoSpaceDN/>
        <w:spacing w:line="360" w:lineRule="auto"/>
        <w:ind w:left="0" w:right="0"/>
        <w:rPr>
          <w:rFonts w:hint="eastAsia" w:ascii="仿宋_GB2312"/>
          <w:b/>
          <w:color w:val="auto"/>
          <w:sz w:val="32"/>
          <w:szCs w:val="32"/>
          <w:highlight w:val="none"/>
          <w:shd w:val="clear" w:color="auto" w:fill="auto"/>
        </w:rPr>
      </w:pPr>
      <w:r>
        <w:rPr>
          <w:rFonts w:hint="eastAsia" w:ascii="仿宋_GB2312"/>
          <w:b/>
          <w:color w:val="auto"/>
          <w:sz w:val="32"/>
          <w:szCs w:val="32"/>
          <w:highlight w:val="none"/>
          <w:shd w:val="clear" w:color="auto" w:fill="auto"/>
        </w:rPr>
        <w:t>五、实施步骤</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策勒县节水型社会建设分为以下几个阶段实施：</w:t>
      </w:r>
    </w:p>
    <w:p>
      <w:pPr>
        <w:pStyle w:val="11"/>
        <w:keepNext/>
        <w:widowControl/>
        <w:overflowPunct w:val="0"/>
        <w:topLinePunct/>
        <w:autoSpaceDE/>
        <w:autoSpaceDN/>
        <w:spacing w:line="360" w:lineRule="auto"/>
        <w:ind w:left="0" w:firstLine="643"/>
        <w:rPr>
          <w:rFonts w:ascii="仿宋_GB2312" w:hAnsi="仿宋" w:cs="仿宋"/>
          <w:b/>
          <w:bCs/>
          <w:color w:val="auto"/>
          <w:highlight w:val="none"/>
          <w:shd w:val="clear" w:color="auto" w:fill="auto"/>
          <w:lang w:val="en-US"/>
        </w:rPr>
      </w:pPr>
      <w:r>
        <w:rPr>
          <w:rFonts w:hint="eastAsia" w:ascii="仿宋_GB2312" w:hAnsi="仿宋" w:cs="仿宋"/>
          <w:b/>
          <w:bCs/>
          <w:color w:val="auto"/>
          <w:highlight w:val="none"/>
          <w:shd w:val="clear" w:color="auto" w:fill="auto"/>
          <w:lang w:val="en-US"/>
        </w:rPr>
        <w:t>（一）动员部署阶段（2023年</w:t>
      </w:r>
      <w:r>
        <w:rPr>
          <w:rFonts w:hint="eastAsia" w:ascii="仿宋_GB2312" w:hAnsi="仿宋" w:cs="仿宋"/>
          <w:b/>
          <w:bCs/>
          <w:color w:val="auto"/>
          <w:highlight w:val="none"/>
          <w:shd w:val="clear" w:color="auto" w:fill="auto"/>
          <w:lang w:val="en-US" w:eastAsia="zh-CN"/>
        </w:rPr>
        <w:t>8</w:t>
      </w:r>
      <w:r>
        <w:rPr>
          <w:rFonts w:hint="eastAsia" w:ascii="仿宋_GB2312" w:hAnsi="仿宋" w:cs="仿宋"/>
          <w:b/>
          <w:bCs/>
          <w:color w:val="auto"/>
          <w:highlight w:val="none"/>
          <w:shd w:val="clear" w:color="auto" w:fill="auto"/>
          <w:lang w:val="en-US"/>
        </w:rPr>
        <w:t>月</w:t>
      </w:r>
      <w:r>
        <w:rPr>
          <w:rFonts w:hint="eastAsia" w:ascii="仿宋_GB2312" w:hAnsi="仿宋" w:cs="仿宋"/>
          <w:b/>
          <w:bCs/>
          <w:color w:val="auto"/>
          <w:highlight w:val="none"/>
          <w:shd w:val="clear" w:color="auto" w:fill="auto"/>
          <w:lang w:val="en-US" w:eastAsia="zh-CN"/>
        </w:rPr>
        <w:t>3</w:t>
      </w:r>
      <w:r>
        <w:rPr>
          <w:rFonts w:hint="eastAsia" w:ascii="仿宋_GB2312" w:hAnsi="仿宋" w:cs="仿宋"/>
          <w:b/>
          <w:bCs/>
          <w:color w:val="auto"/>
          <w:highlight w:val="none"/>
          <w:shd w:val="clear" w:color="auto" w:fill="auto"/>
          <w:lang w:val="en-US"/>
        </w:rPr>
        <w:t>日至2023年</w:t>
      </w:r>
      <w:r>
        <w:rPr>
          <w:rFonts w:hint="eastAsia" w:ascii="仿宋_GB2312" w:hAnsi="仿宋" w:cs="仿宋"/>
          <w:b/>
          <w:bCs/>
          <w:color w:val="auto"/>
          <w:highlight w:val="none"/>
          <w:shd w:val="clear" w:color="auto" w:fill="auto"/>
          <w:lang w:val="en-US" w:eastAsia="zh-CN"/>
        </w:rPr>
        <w:t>8</w:t>
      </w:r>
      <w:r>
        <w:rPr>
          <w:rFonts w:hint="eastAsia" w:ascii="仿宋_GB2312" w:hAnsi="仿宋" w:cs="仿宋"/>
          <w:b/>
          <w:bCs/>
          <w:color w:val="auto"/>
          <w:highlight w:val="none"/>
          <w:shd w:val="clear" w:color="auto" w:fill="auto"/>
          <w:lang w:val="en-US"/>
        </w:rPr>
        <w:t>月</w:t>
      </w:r>
      <w:r>
        <w:rPr>
          <w:rFonts w:ascii="仿宋_GB2312" w:hAnsi="仿宋" w:cs="仿宋"/>
          <w:b/>
          <w:bCs/>
          <w:color w:val="auto"/>
          <w:highlight w:val="none"/>
          <w:shd w:val="clear" w:color="auto" w:fill="auto"/>
          <w:lang w:val="en-US"/>
        </w:rPr>
        <w:t>31</w:t>
      </w:r>
      <w:r>
        <w:rPr>
          <w:rFonts w:hint="eastAsia" w:ascii="仿宋_GB2312" w:hAnsi="仿宋" w:cs="仿宋"/>
          <w:b/>
          <w:bCs/>
          <w:color w:val="auto"/>
          <w:highlight w:val="none"/>
          <w:shd w:val="clear" w:color="auto" w:fill="auto"/>
          <w:lang w:val="en-US"/>
        </w:rPr>
        <w:t>日）</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成立节水型社会达标建设工作领导小组和工作机构，编制《策勒县节水型社会达标建设实施方案》，细化分解目标任务，广泛开展人员培训和宣传，营造节水型社会建设的浓厚氛围。</w:t>
      </w:r>
    </w:p>
    <w:p>
      <w:pPr>
        <w:pStyle w:val="11"/>
        <w:keepNext/>
        <w:widowControl/>
        <w:overflowPunct w:val="0"/>
        <w:topLinePunct/>
        <w:autoSpaceDE/>
        <w:autoSpaceDN/>
        <w:spacing w:line="360" w:lineRule="auto"/>
        <w:ind w:left="0" w:firstLine="643"/>
        <w:rPr>
          <w:rFonts w:ascii="仿宋_GB2312" w:hAnsi="仿宋" w:cs="仿宋"/>
          <w:b/>
          <w:bCs/>
          <w:color w:val="auto"/>
          <w:highlight w:val="none"/>
          <w:shd w:val="clear" w:color="auto" w:fill="auto"/>
          <w:lang w:val="en-US"/>
        </w:rPr>
      </w:pPr>
      <w:r>
        <w:rPr>
          <w:rFonts w:hint="eastAsia" w:ascii="仿宋_GB2312" w:hAnsi="仿宋" w:cs="仿宋"/>
          <w:b/>
          <w:bCs/>
          <w:color w:val="auto"/>
          <w:highlight w:val="none"/>
          <w:shd w:val="clear" w:color="auto" w:fill="auto"/>
          <w:lang w:val="en-US"/>
        </w:rPr>
        <w:t>（二）全面推进阶段（2023年</w:t>
      </w:r>
      <w:r>
        <w:rPr>
          <w:rFonts w:hint="eastAsia" w:ascii="仿宋_GB2312" w:hAnsi="仿宋" w:cs="仿宋"/>
          <w:b/>
          <w:bCs/>
          <w:color w:val="auto"/>
          <w:highlight w:val="none"/>
          <w:shd w:val="clear" w:color="auto" w:fill="auto"/>
          <w:lang w:val="en-US" w:eastAsia="zh-CN"/>
        </w:rPr>
        <w:t>9</w:t>
      </w:r>
      <w:r>
        <w:rPr>
          <w:rFonts w:hint="eastAsia" w:ascii="仿宋_GB2312" w:hAnsi="仿宋" w:cs="仿宋"/>
          <w:b/>
          <w:bCs/>
          <w:color w:val="auto"/>
          <w:highlight w:val="none"/>
          <w:shd w:val="clear" w:color="auto" w:fill="auto"/>
          <w:lang w:val="en-US"/>
        </w:rPr>
        <w:t>月</w:t>
      </w:r>
      <w:r>
        <w:rPr>
          <w:rFonts w:ascii="仿宋_GB2312" w:hAnsi="仿宋" w:cs="仿宋"/>
          <w:b/>
          <w:bCs/>
          <w:color w:val="auto"/>
          <w:highlight w:val="none"/>
          <w:shd w:val="clear" w:color="auto" w:fill="auto"/>
          <w:lang w:val="en-US"/>
        </w:rPr>
        <w:t>1</w:t>
      </w:r>
      <w:r>
        <w:rPr>
          <w:rFonts w:hint="eastAsia" w:ascii="仿宋_GB2312" w:hAnsi="仿宋" w:cs="仿宋"/>
          <w:b/>
          <w:bCs/>
          <w:color w:val="auto"/>
          <w:highlight w:val="none"/>
          <w:shd w:val="clear" w:color="auto" w:fill="auto"/>
          <w:lang w:val="en-US"/>
        </w:rPr>
        <w:t>日至2023年</w:t>
      </w:r>
      <w:r>
        <w:rPr>
          <w:rFonts w:hint="eastAsia" w:ascii="仿宋_GB2312" w:hAnsi="仿宋" w:cs="仿宋"/>
          <w:b/>
          <w:bCs/>
          <w:color w:val="auto"/>
          <w:highlight w:val="none"/>
          <w:shd w:val="clear" w:color="auto" w:fill="auto"/>
          <w:lang w:val="en-US" w:eastAsia="zh-CN"/>
        </w:rPr>
        <w:t>11</w:t>
      </w:r>
      <w:r>
        <w:rPr>
          <w:rFonts w:hint="eastAsia" w:ascii="仿宋_GB2312" w:hAnsi="仿宋" w:cs="仿宋"/>
          <w:b/>
          <w:bCs/>
          <w:color w:val="auto"/>
          <w:highlight w:val="none"/>
          <w:shd w:val="clear" w:color="auto" w:fill="auto"/>
          <w:lang w:val="en-US"/>
        </w:rPr>
        <w:t>月</w:t>
      </w:r>
      <w:r>
        <w:rPr>
          <w:rFonts w:ascii="仿宋_GB2312" w:hAnsi="仿宋" w:cs="仿宋"/>
          <w:b/>
          <w:bCs/>
          <w:color w:val="auto"/>
          <w:highlight w:val="none"/>
          <w:shd w:val="clear" w:color="auto" w:fill="auto"/>
          <w:lang w:val="en-US"/>
        </w:rPr>
        <w:t>3</w:t>
      </w:r>
      <w:r>
        <w:rPr>
          <w:rFonts w:hint="eastAsia" w:ascii="仿宋_GB2312" w:hAnsi="仿宋" w:cs="仿宋"/>
          <w:b/>
          <w:bCs/>
          <w:color w:val="auto"/>
          <w:highlight w:val="none"/>
          <w:shd w:val="clear" w:color="auto" w:fill="auto"/>
          <w:lang w:val="en-US" w:eastAsia="zh-CN"/>
        </w:rPr>
        <w:t>0</w:t>
      </w:r>
      <w:r>
        <w:rPr>
          <w:rFonts w:hint="eastAsia" w:ascii="仿宋_GB2312" w:hAnsi="仿宋" w:cs="仿宋"/>
          <w:b/>
          <w:bCs/>
          <w:color w:val="auto"/>
          <w:highlight w:val="none"/>
          <w:shd w:val="clear" w:color="auto" w:fill="auto"/>
          <w:lang w:val="en-US"/>
        </w:rPr>
        <w:t>日）</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制定完善节水规定，强化节水基础管理工作，完成各项管理制度，健全完善运行体系和运行机制，各责任单位根据责任目标开展节水型单位、节水型企业、节水型社区、节水型学校、节水型医院等建设活动，全面普及节水器具，推广喷灌、微灌等高效节水灌溉的调查及资料收集工作，落实各项节水措施。</w:t>
      </w:r>
    </w:p>
    <w:p>
      <w:pPr>
        <w:pStyle w:val="11"/>
        <w:keepNext/>
        <w:widowControl/>
        <w:overflowPunct w:val="0"/>
        <w:topLinePunct/>
        <w:autoSpaceDE/>
        <w:autoSpaceDN/>
        <w:spacing w:line="360" w:lineRule="auto"/>
        <w:ind w:left="0" w:firstLine="643"/>
        <w:rPr>
          <w:rFonts w:ascii="仿宋_GB2312" w:hAnsi="仿宋" w:cs="仿宋"/>
          <w:b/>
          <w:bCs/>
          <w:color w:val="auto"/>
          <w:highlight w:val="none"/>
          <w:shd w:val="clear" w:color="auto" w:fill="auto"/>
          <w:lang w:val="en-US"/>
        </w:rPr>
      </w:pPr>
      <w:r>
        <w:rPr>
          <w:rFonts w:hint="eastAsia" w:ascii="仿宋_GB2312" w:hAnsi="仿宋" w:cs="仿宋"/>
          <w:b/>
          <w:bCs/>
          <w:color w:val="auto"/>
          <w:highlight w:val="none"/>
          <w:shd w:val="clear" w:color="auto" w:fill="auto"/>
          <w:lang w:val="en-US"/>
        </w:rPr>
        <w:t>（三）初步验收阶段（</w:t>
      </w:r>
      <w:r>
        <w:rPr>
          <w:rFonts w:ascii="仿宋_GB2312" w:hAnsi="仿宋" w:cs="仿宋"/>
          <w:b/>
          <w:bCs/>
          <w:color w:val="auto"/>
          <w:highlight w:val="none"/>
          <w:shd w:val="clear" w:color="auto" w:fill="auto"/>
          <w:lang w:val="en-US"/>
        </w:rPr>
        <w:t>2023年</w:t>
      </w:r>
      <w:r>
        <w:rPr>
          <w:rFonts w:hint="eastAsia" w:ascii="仿宋_GB2312" w:hAnsi="仿宋" w:cs="仿宋"/>
          <w:b/>
          <w:bCs/>
          <w:color w:val="auto"/>
          <w:highlight w:val="none"/>
          <w:shd w:val="clear" w:color="auto" w:fill="auto"/>
          <w:lang w:val="en-US" w:eastAsia="zh-CN"/>
        </w:rPr>
        <w:t>12</w:t>
      </w:r>
      <w:r>
        <w:rPr>
          <w:rFonts w:ascii="仿宋_GB2312" w:hAnsi="仿宋" w:cs="仿宋"/>
          <w:b/>
          <w:bCs/>
          <w:color w:val="auto"/>
          <w:highlight w:val="none"/>
          <w:shd w:val="clear" w:color="auto" w:fill="auto"/>
          <w:lang w:val="en-US"/>
        </w:rPr>
        <w:t>月1日至</w:t>
      </w:r>
      <w:r>
        <w:rPr>
          <w:rFonts w:hint="eastAsia" w:ascii="仿宋_GB2312" w:hAnsi="仿宋" w:cs="仿宋"/>
          <w:b/>
          <w:bCs/>
          <w:color w:val="auto"/>
          <w:highlight w:val="none"/>
          <w:shd w:val="clear" w:color="auto" w:fill="auto"/>
          <w:lang w:val="en-US" w:eastAsia="zh-CN"/>
        </w:rPr>
        <w:t>2024年1</w:t>
      </w:r>
      <w:r>
        <w:rPr>
          <w:rFonts w:ascii="仿宋_GB2312" w:hAnsi="仿宋" w:cs="仿宋"/>
          <w:b/>
          <w:bCs/>
          <w:color w:val="auto"/>
          <w:highlight w:val="none"/>
          <w:shd w:val="clear" w:color="auto" w:fill="auto"/>
          <w:lang w:val="en-US"/>
        </w:rPr>
        <w:t>月31日）</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全面检查落实各项资料汇总，进行预验收工作，上报地区水利局审查.</w:t>
      </w:r>
    </w:p>
    <w:p>
      <w:pPr>
        <w:pStyle w:val="11"/>
        <w:keepNext/>
        <w:widowControl/>
        <w:overflowPunct w:val="0"/>
        <w:topLinePunct/>
        <w:autoSpaceDE/>
        <w:autoSpaceDN/>
        <w:spacing w:line="360" w:lineRule="auto"/>
        <w:ind w:left="0" w:firstLine="643"/>
        <w:rPr>
          <w:rFonts w:ascii="仿宋_GB2312" w:hAnsi="仿宋" w:cs="仿宋"/>
          <w:b/>
          <w:bCs/>
          <w:color w:val="auto"/>
          <w:highlight w:val="none"/>
          <w:shd w:val="clear" w:color="auto" w:fill="auto"/>
          <w:lang w:val="en-US"/>
        </w:rPr>
      </w:pPr>
      <w:r>
        <w:rPr>
          <w:rFonts w:hint="eastAsia" w:ascii="仿宋_GB2312" w:hAnsi="仿宋" w:cs="仿宋"/>
          <w:b/>
          <w:bCs/>
          <w:color w:val="auto"/>
          <w:highlight w:val="none"/>
          <w:shd w:val="clear" w:color="auto" w:fill="auto"/>
          <w:lang w:val="en-US"/>
        </w:rPr>
        <w:t>（四）深化提高阶段（</w:t>
      </w:r>
      <w:r>
        <w:rPr>
          <w:rFonts w:ascii="仿宋_GB2312" w:hAnsi="仿宋" w:cs="仿宋"/>
          <w:b/>
          <w:bCs/>
          <w:color w:val="auto"/>
          <w:highlight w:val="none"/>
          <w:shd w:val="clear" w:color="auto" w:fill="auto"/>
          <w:lang w:val="en-US"/>
        </w:rPr>
        <w:t>202</w:t>
      </w:r>
      <w:r>
        <w:rPr>
          <w:rFonts w:hint="eastAsia" w:ascii="仿宋_GB2312" w:hAnsi="仿宋" w:cs="仿宋"/>
          <w:b/>
          <w:bCs/>
          <w:color w:val="auto"/>
          <w:highlight w:val="none"/>
          <w:shd w:val="clear" w:color="auto" w:fill="auto"/>
          <w:lang w:val="en-US" w:eastAsia="zh-CN"/>
        </w:rPr>
        <w:t>4</w:t>
      </w:r>
      <w:r>
        <w:rPr>
          <w:rFonts w:ascii="仿宋_GB2312" w:hAnsi="仿宋" w:cs="仿宋"/>
          <w:b/>
          <w:bCs/>
          <w:color w:val="auto"/>
          <w:highlight w:val="none"/>
          <w:shd w:val="clear" w:color="auto" w:fill="auto"/>
          <w:lang w:val="en-US"/>
        </w:rPr>
        <w:t>年</w:t>
      </w:r>
      <w:r>
        <w:rPr>
          <w:rFonts w:hint="eastAsia" w:ascii="仿宋_GB2312" w:hAnsi="仿宋" w:cs="仿宋"/>
          <w:b/>
          <w:bCs/>
          <w:color w:val="auto"/>
          <w:highlight w:val="none"/>
          <w:shd w:val="clear" w:color="auto" w:fill="auto"/>
          <w:lang w:val="en-US" w:eastAsia="zh-CN"/>
        </w:rPr>
        <w:t>3</w:t>
      </w:r>
      <w:r>
        <w:rPr>
          <w:rFonts w:ascii="仿宋_GB2312" w:hAnsi="仿宋" w:cs="仿宋"/>
          <w:b/>
          <w:bCs/>
          <w:color w:val="auto"/>
          <w:highlight w:val="none"/>
          <w:shd w:val="clear" w:color="auto" w:fill="auto"/>
          <w:lang w:val="en-US"/>
        </w:rPr>
        <w:t>月30日前）</w:t>
      </w:r>
    </w:p>
    <w:p>
      <w:pPr>
        <w:adjustRightInd w:val="0"/>
        <w:snapToGrid w:val="0"/>
        <w:spacing w:line="360" w:lineRule="auto"/>
        <w:ind w:firstLine="640" w:firstLineChars="200"/>
        <w:jc w:val="both"/>
        <w:rPr>
          <w:rFonts w:hint="eastAsia" w:ascii="仿宋_GB2312" w:hAnsi="仿宋" w:eastAsia="仿宋_GB2312" w:cs="仿宋"/>
          <w:b w:val="0"/>
          <w:bCs w:val="0"/>
          <w:kern w:val="0"/>
          <w:sz w:val="32"/>
          <w:szCs w:val="32"/>
          <w:lang w:val="en-US" w:eastAsia="zh-CN" w:bidi="zh-CN"/>
        </w:rPr>
      </w:pPr>
      <w:r>
        <w:rPr>
          <w:rFonts w:hint="eastAsia" w:ascii="仿宋_GB2312" w:hAnsi="仿宋" w:eastAsia="仿宋_GB2312" w:cs="仿宋"/>
          <w:b w:val="0"/>
          <w:bCs w:val="0"/>
          <w:kern w:val="0"/>
          <w:sz w:val="32"/>
          <w:szCs w:val="32"/>
          <w:lang w:val="en-US" w:eastAsia="zh-CN" w:bidi="zh-CN"/>
        </w:rPr>
        <w:t>针对预验收情况，巩固和提高建设成果，查找短板漏洞，制定措施整改完善，对节水型社会建设阶段工作进行总结，完成所有节水型社会建设资料收集整编，并最终完成自治区上报及验收工作。</w:t>
      </w:r>
    </w:p>
    <w:p>
      <w:pPr>
        <w:adjustRightInd w:val="0"/>
        <w:snapToGrid w:val="0"/>
        <w:spacing w:line="360" w:lineRule="auto"/>
        <w:ind w:firstLine="643" w:firstLineChars="200"/>
        <w:jc w:val="both"/>
        <w:rPr>
          <w:rFonts w:ascii="仿宋_GB2312"/>
          <w:b/>
          <w:sz w:val="32"/>
          <w:szCs w:val="32"/>
        </w:rPr>
      </w:pPr>
      <w:r>
        <w:rPr>
          <w:rFonts w:hint="eastAsia" w:ascii="仿宋_GB2312"/>
          <w:b/>
          <w:sz w:val="32"/>
          <w:szCs w:val="32"/>
        </w:rPr>
        <w:t>六、保障措施</w:t>
      </w:r>
    </w:p>
    <w:p>
      <w:pPr>
        <w:pStyle w:val="11"/>
        <w:keepNext/>
        <w:widowControl/>
        <w:overflowPunct w:val="0"/>
        <w:topLinePunct/>
        <w:autoSpaceDE/>
        <w:autoSpaceDN/>
        <w:spacing w:line="360" w:lineRule="auto"/>
        <w:ind w:left="0" w:firstLine="643"/>
        <w:rPr>
          <w:rFonts w:ascii="仿宋_GB2312" w:hAnsi="仿宋" w:cs="仿宋"/>
          <w:b/>
          <w:bCs/>
          <w:lang w:val="en-US"/>
        </w:rPr>
      </w:pPr>
      <w:r>
        <w:rPr>
          <w:rFonts w:ascii="仿宋_GB2312" w:hAnsi="仿宋" w:cs="仿宋"/>
          <w:b/>
          <w:bCs/>
          <w:lang w:val="en-US"/>
        </w:rPr>
        <w:t>(一)加强组织领导，狠抓工作落实</w:t>
      </w:r>
    </w:p>
    <w:p>
      <w:pPr>
        <w:adjustRightInd w:val="0"/>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成立节水型社会达标建设工作领导小组。领导小组全面负责全县节水型社会达标建设工作，研究和协调解决工作中的重大问题。各有关部门要将节水型社会达标建设工作纳入重要议事日程，制定工作方案，落实专职人员，全面推进实施;要根据各自职责分工，加强沟通协调，及时研究解决工作中存在的问题，确保全县节水型社会达标建设工作有力有序推进。</w:t>
      </w:r>
    </w:p>
    <w:p>
      <w:pPr>
        <w:pStyle w:val="11"/>
        <w:keepNext/>
        <w:widowControl/>
        <w:overflowPunct w:val="0"/>
        <w:topLinePunct/>
        <w:autoSpaceDE/>
        <w:autoSpaceDN/>
        <w:spacing w:line="360" w:lineRule="auto"/>
        <w:ind w:left="0" w:firstLine="643"/>
        <w:rPr>
          <w:rFonts w:ascii="仿宋_GB2312" w:hAnsi="仿宋" w:cs="仿宋"/>
          <w:b/>
          <w:bCs/>
          <w:lang w:val="en-US"/>
        </w:rPr>
      </w:pPr>
      <w:r>
        <w:rPr>
          <w:rFonts w:ascii="仿宋_GB2312" w:hAnsi="仿宋" w:cs="仿宋"/>
          <w:b/>
          <w:bCs/>
          <w:lang w:val="en-US"/>
        </w:rPr>
        <w:t>(二)明确职责分工，强化部门协作</w:t>
      </w:r>
    </w:p>
    <w:p>
      <w:pPr>
        <w:adjustRightInd w:val="0"/>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节水型社会达标建设是一项全面、系统的工作，需要各级各部门协作配合、齐力推进。领导小组各成员单位要按照职能分工，对政策实施、水价机制落实、资金投入、建设项目节水、供水管网改造、再生水利用、农业节水等县域节水达标建设工作进行统筹安排，明确目标任务和进度安排，加强指导，强化监督，压茬推进，保证按时间节点要求，全面推进全县节水型社会达标建设工作。</w:t>
      </w:r>
    </w:p>
    <w:p>
      <w:pPr>
        <w:pStyle w:val="11"/>
        <w:keepNext/>
        <w:widowControl/>
        <w:overflowPunct w:val="0"/>
        <w:topLinePunct/>
        <w:autoSpaceDE/>
        <w:autoSpaceDN/>
        <w:spacing w:line="360" w:lineRule="auto"/>
        <w:ind w:left="0" w:firstLine="643"/>
        <w:rPr>
          <w:rFonts w:ascii="仿宋_GB2312" w:hAnsi="仿宋" w:cs="仿宋"/>
          <w:b/>
          <w:bCs/>
          <w:lang w:val="en-US"/>
        </w:rPr>
      </w:pPr>
      <w:r>
        <w:rPr>
          <w:rFonts w:ascii="仿宋_GB2312" w:hAnsi="仿宋" w:cs="仿宋"/>
          <w:b/>
          <w:bCs/>
          <w:lang w:val="en-US"/>
        </w:rPr>
        <w:t>(三)多方措施资金，完善激励机制</w:t>
      </w:r>
    </w:p>
    <w:p>
      <w:pPr>
        <w:adjustRightInd w:val="0"/>
        <w:snapToGrid w:val="0"/>
        <w:spacing w:line="360" w:lineRule="auto"/>
        <w:ind w:firstLine="640" w:firstLineChars="200"/>
        <w:rPr>
          <w:rFonts w:ascii="仿宋_GB2312" w:hAnsi="仿宋" w:eastAsia="仿宋_GB2312" w:cs="仿宋"/>
          <w:sz w:val="32"/>
          <w:szCs w:val="32"/>
        </w:rPr>
      </w:pPr>
      <w:r>
        <w:rPr>
          <w:rFonts w:ascii="仿宋_GB2312" w:hAnsi="仿宋" w:eastAsia="仿宋_GB2312" w:cs="仿宋"/>
          <w:sz w:val="32"/>
          <w:szCs w:val="32"/>
        </w:rPr>
        <w:t>节水工作是社会性、公益性较强的基础建设，要按照国家、集体、社会相结合的原则，逐步建立多层次、多渠道、多元化的节水型社会建设投资机制。各单位要积极争取上级主管部门的项目补助资金，县财政要克服困难多渠道筹措资金，解决必须解决的短板，确保能够争取到的分值不失分。要积极探索“以奖代补”等补助方式，对工作开展力度大、成效好的单位给予资金补助。要积极探索市场机制筹措资金，鼓励社会资本积极参与城镇供水、工业供水、污水处理等项目的投资建设和经营管理，并给予一定优惠政策。</w:t>
      </w:r>
    </w:p>
    <w:p>
      <w:pPr>
        <w:pStyle w:val="11"/>
        <w:keepNext/>
        <w:widowControl/>
        <w:overflowPunct w:val="0"/>
        <w:topLinePunct/>
        <w:autoSpaceDE/>
        <w:autoSpaceDN/>
        <w:spacing w:line="360" w:lineRule="auto"/>
        <w:ind w:left="0" w:firstLine="643"/>
        <w:rPr>
          <w:rFonts w:ascii="仿宋_GB2312" w:hAnsi="仿宋" w:cs="仿宋"/>
          <w:b/>
          <w:bCs/>
          <w:lang w:val="en-US"/>
        </w:rPr>
      </w:pPr>
      <w:r>
        <w:rPr>
          <w:rFonts w:ascii="仿宋_GB2312" w:hAnsi="仿宋" w:cs="仿宋"/>
          <w:b/>
          <w:bCs/>
          <w:lang w:val="en-US"/>
        </w:rPr>
        <w:t>(四)强化公众参与，严肃督查问责</w:t>
      </w:r>
    </w:p>
    <w:p>
      <w:pPr>
        <w:adjustRightInd w:val="0"/>
        <w:snapToGrid w:val="0"/>
        <w:spacing w:line="360" w:lineRule="auto"/>
        <w:ind w:firstLine="640" w:firstLineChars="200"/>
        <w:rPr>
          <w:rFonts w:hint="eastAsia" w:ascii="仿宋_GB2312" w:hAnsi="仿宋" w:eastAsia="仿宋_GB2312" w:cs="仿宋"/>
          <w:sz w:val="32"/>
          <w:szCs w:val="32"/>
        </w:rPr>
      </w:pPr>
      <w:r>
        <w:rPr>
          <w:rFonts w:ascii="仿宋_GB2312" w:hAnsi="仿宋" w:eastAsia="仿宋_GB2312" w:cs="仿宋"/>
          <w:sz w:val="32"/>
          <w:szCs w:val="32"/>
        </w:rPr>
        <w:t>要持续加大宣传力度，把节水宣传作为水资源管理、节水型社会建设的一项日常工作来抓，大力推进水资源科学管理、民主决策，不断完善公众参与机制。通过宣传动员，倡导科学用水方式，增强公众惜水、爱水意识，形成良好风气和浓厚氛围，为全县节水型社会达标建设奠定坚实基础。对推进工作力度不大、进展缓慢导致未完成任务的，县上将严肃追责问责</w:t>
      </w:r>
      <w:r>
        <w:rPr>
          <w:rFonts w:hint="eastAsia" w:ascii="仿宋_GB2312" w:hAnsi="仿宋" w:eastAsia="仿宋_GB2312" w:cs="仿宋"/>
          <w:sz w:val="32"/>
          <w:szCs w:val="32"/>
        </w:rPr>
        <w:t>。</w:t>
      </w:r>
    </w:p>
    <w:p>
      <w:pPr>
        <w:adjustRightInd w:val="0"/>
        <w:snapToGrid w:val="0"/>
        <w:spacing w:line="360" w:lineRule="auto"/>
        <w:ind w:firstLine="640" w:firstLineChars="200"/>
        <w:rPr>
          <w:rFonts w:hint="eastAsia" w:ascii="仿宋_GB2312" w:hAnsi="仿宋" w:eastAsia="仿宋_GB2312" w:cs="仿宋"/>
          <w:sz w:val="32"/>
          <w:szCs w:val="32"/>
        </w:rPr>
      </w:pPr>
    </w:p>
    <w:p>
      <w:pPr>
        <w:adjustRightInd w:val="0"/>
        <w:snapToGrid w:val="0"/>
        <w:spacing w:line="360" w:lineRule="auto"/>
        <w:ind w:firstLine="640" w:firstLineChars="200"/>
        <w:rPr>
          <w:rFonts w:hint="eastAsia" w:ascii="仿宋_GB2312" w:hAnsi="仿宋" w:eastAsia="仿宋_GB2312" w:cs="仿宋"/>
          <w:sz w:val="32"/>
          <w:szCs w:val="32"/>
        </w:rPr>
      </w:pPr>
    </w:p>
    <w:p>
      <w:pPr>
        <w:adjustRightInd w:val="0"/>
        <w:snapToGrid w:val="0"/>
        <w:spacing w:line="360" w:lineRule="auto"/>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附件1：关于成立</w:t>
      </w:r>
      <w:r>
        <w:rPr>
          <w:rFonts w:hint="eastAsia" w:ascii="仿宋_GB2312" w:hAnsi="仿宋" w:eastAsia="仿宋_GB2312" w:cs="仿宋"/>
          <w:sz w:val="32"/>
          <w:szCs w:val="32"/>
          <w:lang w:val="en-US"/>
        </w:rPr>
        <w:t>和策勒县</w:t>
      </w:r>
      <w:r>
        <w:rPr>
          <w:rFonts w:hint="eastAsia" w:ascii="仿宋_GB2312" w:hAnsi="仿宋" w:eastAsia="仿宋_GB2312" w:cs="仿宋"/>
          <w:sz w:val="32"/>
          <w:szCs w:val="32"/>
        </w:rPr>
        <w:t>节水型社会达标建设工作领导小组的通知</w:t>
      </w:r>
    </w:p>
    <w:p>
      <w:pPr>
        <w:pStyle w:val="16"/>
        <w:tabs>
          <w:tab w:val="left" w:pos="1771"/>
        </w:tabs>
        <w:adjustRightInd w:val="0"/>
        <w:snapToGrid w:val="0"/>
        <w:spacing w:line="360" w:lineRule="auto"/>
        <w:ind w:left="0" w:firstLine="640" w:firstLineChars="200"/>
        <w:jc w:val="both"/>
        <w:rPr>
          <w:rFonts w:ascii="仿宋_GB2312" w:hAnsi="仿宋" w:eastAsia="仿宋_GB2312" w:cs="仿宋"/>
          <w:sz w:val="32"/>
          <w:szCs w:val="32"/>
          <w:lang w:val="en-US"/>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rPr>
        <w:t>2：</w:t>
      </w:r>
      <w:r>
        <w:rPr>
          <w:rFonts w:hint="eastAsia" w:ascii="仿宋_GB2312" w:hAnsi="仿宋" w:eastAsia="仿宋_GB2312" w:cs="仿宋"/>
          <w:sz w:val="32"/>
          <w:szCs w:val="32"/>
        </w:rPr>
        <w:t>节水型社会评价标准（</w:t>
      </w:r>
      <w:r>
        <w:rPr>
          <w:rFonts w:hint="eastAsia" w:ascii="仿宋_GB2312" w:hAnsi="仿宋" w:eastAsia="仿宋_GB2312" w:cs="仿宋"/>
          <w:sz w:val="32"/>
          <w:szCs w:val="32"/>
          <w:lang w:val="en-US"/>
        </w:rPr>
        <w:t>试行）</w:t>
      </w:r>
    </w:p>
    <w:p>
      <w:pPr>
        <w:pStyle w:val="16"/>
        <w:tabs>
          <w:tab w:val="left" w:pos="1771"/>
        </w:tabs>
        <w:adjustRightInd w:val="0"/>
        <w:snapToGrid w:val="0"/>
        <w:spacing w:line="360" w:lineRule="auto"/>
        <w:ind w:left="0"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附件</w:t>
      </w:r>
      <w:r>
        <w:rPr>
          <w:rFonts w:hint="eastAsia" w:ascii="仿宋_GB2312" w:hAnsi="仿宋" w:eastAsia="仿宋_GB2312" w:cs="仿宋"/>
          <w:sz w:val="32"/>
          <w:szCs w:val="32"/>
          <w:lang w:val="en-US"/>
        </w:rPr>
        <w:t>3</w:t>
      </w:r>
      <w:r>
        <w:rPr>
          <w:rFonts w:hint="eastAsia" w:ascii="仿宋_GB2312" w:hAnsi="仿宋" w:eastAsia="仿宋_GB2312" w:cs="仿宋"/>
          <w:sz w:val="32"/>
          <w:szCs w:val="32"/>
        </w:rPr>
        <w:t>：节水型社会评价赋分表及任务分解</w:t>
      </w:r>
    </w:p>
    <w:p>
      <w:pPr>
        <w:adjustRightInd w:val="0"/>
        <w:snapToGrid w:val="0"/>
        <w:spacing w:line="360" w:lineRule="auto"/>
        <w:ind w:firstLine="640" w:firstLineChars="200"/>
        <w:rPr>
          <w:rFonts w:hint="eastAsia" w:ascii="仿宋_GB2312" w:eastAsia="仿宋_GB2312"/>
          <w:sz w:val="32"/>
          <w:szCs w:val="32"/>
        </w:rPr>
      </w:pPr>
    </w:p>
    <w:p>
      <w:pPr>
        <w:adjustRightInd w:val="0"/>
        <w:snapToGrid w:val="0"/>
        <w:spacing w:line="360" w:lineRule="auto"/>
        <w:ind w:firstLine="640" w:firstLineChars="200"/>
        <w:rPr>
          <w:rFonts w:hint="eastAsia" w:ascii="仿宋_GB2312" w:eastAsia="仿宋_GB2312" w:cs="方正仿宋_GBK"/>
          <w:sz w:val="32"/>
          <w:szCs w:val="32"/>
        </w:rPr>
      </w:pPr>
    </w:p>
    <w:p>
      <w:pPr>
        <w:adjustRightInd w:val="0"/>
        <w:snapToGrid w:val="0"/>
        <w:spacing w:line="360" w:lineRule="auto"/>
        <w:ind w:firstLine="640" w:firstLineChars="200"/>
        <w:rPr>
          <w:rFonts w:hint="eastAsia" w:ascii="仿宋_GB2312" w:eastAsia="仿宋_GB2312" w:cs="方正仿宋_GBK"/>
          <w:sz w:val="32"/>
          <w:szCs w:val="32"/>
        </w:rPr>
      </w:pPr>
      <w:r>
        <w:rPr>
          <w:rFonts w:hint="eastAsia" w:ascii="仿宋_GB2312" w:eastAsia="仿宋_GB2312" w:cs="方正仿宋_GBK"/>
          <w:sz w:val="32"/>
          <w:szCs w:val="32"/>
        </w:rPr>
        <w:t xml:space="preserve">                              202</w:t>
      </w:r>
      <w:r>
        <w:rPr>
          <w:rFonts w:hint="eastAsia" w:ascii="仿宋_GB2312" w:eastAsia="仿宋_GB2312" w:cs="方正仿宋_GBK"/>
          <w:sz w:val="32"/>
          <w:szCs w:val="32"/>
          <w:lang w:val="en-US"/>
        </w:rPr>
        <w:t>3</w:t>
      </w:r>
      <w:r>
        <w:rPr>
          <w:rFonts w:hint="eastAsia" w:ascii="仿宋_GB2312" w:eastAsia="仿宋_GB2312" w:cs="方正仿宋_GBK"/>
          <w:sz w:val="32"/>
          <w:szCs w:val="32"/>
        </w:rPr>
        <w:t>年</w:t>
      </w:r>
      <w:r>
        <w:rPr>
          <w:rFonts w:hint="eastAsia" w:ascii="仿宋_GB2312" w:eastAsia="仿宋_GB2312" w:cs="方正仿宋_GBK"/>
          <w:sz w:val="32"/>
          <w:szCs w:val="32"/>
          <w:lang w:val="en-US" w:eastAsia="zh-CN"/>
        </w:rPr>
        <w:t>7</w:t>
      </w:r>
      <w:r>
        <w:rPr>
          <w:rFonts w:hint="eastAsia" w:ascii="仿宋_GB2312" w:eastAsia="仿宋_GB2312" w:cs="方正仿宋_GBK"/>
          <w:sz w:val="32"/>
          <w:szCs w:val="32"/>
        </w:rPr>
        <w:t>月</w:t>
      </w:r>
      <w:r>
        <w:rPr>
          <w:rFonts w:hint="eastAsia" w:ascii="仿宋_GB2312" w:eastAsia="仿宋_GB2312" w:cs="方正仿宋_GBK"/>
          <w:sz w:val="32"/>
          <w:szCs w:val="32"/>
          <w:lang w:val="en-US" w:eastAsia="zh-CN"/>
        </w:rPr>
        <w:t>28</w:t>
      </w:r>
      <w:r>
        <w:rPr>
          <w:rFonts w:hint="eastAsia" w:ascii="仿宋_GB2312" w:eastAsia="仿宋_GB2312" w:cs="方正仿宋_GBK"/>
          <w:sz w:val="32"/>
          <w:szCs w:val="32"/>
        </w:rPr>
        <w:t>日</w:t>
      </w:r>
    </w:p>
    <w:p>
      <w:pPr>
        <w:keepNext/>
        <w:widowControl/>
        <w:overflowPunct w:val="0"/>
        <w:topLinePunct/>
        <w:autoSpaceDE/>
        <w:autoSpaceDN/>
        <w:adjustRightInd w:val="0"/>
        <w:snapToGrid w:val="0"/>
        <w:spacing w:line="360" w:lineRule="auto"/>
        <w:ind w:firstLine="640" w:firstLineChars="200"/>
        <w:rPr>
          <w:rFonts w:hint="eastAsia" w:ascii="仿宋_GB2312" w:eastAsia="仿宋_GB2312" w:cs="方正仿宋_GBK"/>
          <w:sz w:val="32"/>
          <w:szCs w:val="32"/>
        </w:rPr>
        <w:sectPr>
          <w:type w:val="nextColumn"/>
          <w:pgSz w:w="11906" w:h="16838"/>
          <w:pgMar w:top="1440" w:right="1797" w:bottom="1440" w:left="1797" w:header="964" w:footer="1644" w:gutter="0"/>
          <w:pgNumType w:fmt="numberInDash"/>
          <w:cols w:space="720" w:num="1"/>
          <w:titlePg/>
          <w:docGrid w:linePitch="590" w:charSpace="0"/>
        </w:sectPr>
      </w:pPr>
    </w:p>
    <w:p>
      <w:pPr>
        <w:pStyle w:val="13"/>
        <w:keepNext/>
        <w:widowControl/>
        <w:overflowPunct w:val="0"/>
        <w:topLinePunct/>
        <w:autoSpaceDE/>
        <w:autoSpaceDN/>
        <w:spacing w:line="592" w:lineRule="exact"/>
        <w:ind w:firstLine="0" w:firstLineChars="0"/>
        <w:rPr>
          <w:rFonts w:hint="eastAsia" w:ascii="仿宋_GB2312" w:hAnsi="宋体" w:cs="方正仿宋_GBK"/>
          <w:sz w:val="32"/>
          <w:szCs w:val="32"/>
        </w:rPr>
      </w:pPr>
      <w:bookmarkStart w:id="3" w:name="五、工作职责"/>
      <w:bookmarkEnd w:id="3"/>
      <w:bookmarkStart w:id="4" w:name="三、主要任务"/>
      <w:bookmarkEnd w:id="4"/>
      <w:r>
        <w:rPr>
          <w:rFonts w:hint="eastAsia" w:ascii="仿宋_GB2312" w:hAnsi="宋体" w:cs="方正仿宋_GBK"/>
          <w:sz w:val="32"/>
          <w:szCs w:val="32"/>
        </w:rPr>
        <w:t>附件1</w:t>
      </w:r>
    </w:p>
    <w:p>
      <w:pPr>
        <w:keepNext/>
        <w:widowControl/>
        <w:overflowPunct w:val="0"/>
        <w:topLinePunct/>
        <w:autoSpaceDE/>
        <w:autoSpaceDN/>
        <w:adjustRightInd w:val="0"/>
        <w:snapToGrid w:val="0"/>
        <w:spacing w:line="360" w:lineRule="auto"/>
        <w:ind w:firstLine="640" w:firstLineChars="200"/>
        <w:rPr>
          <w:rFonts w:hint="eastAsia" w:ascii="仿宋_GB2312" w:eastAsia="仿宋_GB2312" w:cs="方正仿宋_GBK"/>
          <w:sz w:val="32"/>
          <w:szCs w:val="32"/>
        </w:rPr>
      </w:pPr>
    </w:p>
    <w:p>
      <w:pPr>
        <w:keepNext/>
        <w:widowControl/>
        <w:overflowPunct w:val="0"/>
        <w:topLinePunct/>
        <w:autoSpaceDE/>
        <w:autoSpaceDN/>
        <w:adjustRightInd w:val="0"/>
        <w:snapToGrid w:val="0"/>
        <w:spacing w:line="592" w:lineRule="exact"/>
        <w:jc w:val="center"/>
        <w:outlineLvl w:val="2"/>
        <w:rPr>
          <w:rFonts w:hint="eastAsia" w:ascii="黑体" w:hAnsi="黑体" w:eastAsia="黑体" w:cs="黑体"/>
          <w:color w:val="000000"/>
          <w:kern w:val="44"/>
          <w:sz w:val="44"/>
          <w:szCs w:val="44"/>
        </w:rPr>
      </w:pPr>
      <w:r>
        <w:rPr>
          <w:rFonts w:hint="eastAsia" w:ascii="黑体" w:hAnsi="黑体" w:eastAsia="黑体" w:cs="黑体"/>
          <w:color w:val="000000"/>
          <w:kern w:val="44"/>
          <w:sz w:val="44"/>
          <w:szCs w:val="44"/>
        </w:rPr>
        <w:t>关于成立策勒县节水型社会达标建设工作领导小组的通知</w:t>
      </w:r>
    </w:p>
    <w:p>
      <w:pPr>
        <w:keepNext/>
        <w:widowControl/>
        <w:overflowPunct w:val="0"/>
        <w:topLinePunct/>
        <w:autoSpaceDE/>
        <w:autoSpaceDN/>
        <w:adjustRightInd w:val="0"/>
        <w:snapToGrid w:val="0"/>
        <w:spacing w:line="360" w:lineRule="auto"/>
        <w:ind w:firstLine="640" w:firstLineChars="200"/>
        <w:rPr>
          <w:rFonts w:hint="eastAsia" w:ascii="仿宋_GB2312" w:eastAsia="仿宋_GB2312" w:cs="方正仿宋_GBK"/>
          <w:sz w:val="32"/>
          <w:szCs w:val="32"/>
        </w:rPr>
      </w:pPr>
    </w:p>
    <w:p>
      <w:pPr>
        <w:keepNext/>
        <w:widowControl/>
        <w:overflowPunct w:val="0"/>
        <w:topLinePunct/>
        <w:autoSpaceDE/>
        <w:autoSpaceDN/>
        <w:adjustRightInd w:val="0"/>
        <w:snapToGrid w:val="0"/>
        <w:spacing w:line="360" w:lineRule="auto"/>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为明确节水型社会建设领导小组及成员单位的责任，加强沟通与协调，成立</w:t>
      </w:r>
      <w:r>
        <w:rPr>
          <w:rFonts w:hint="eastAsia" w:ascii="仿宋_GB2312" w:hAnsi="仿宋" w:eastAsia="仿宋_GB2312" w:cs="仿宋"/>
          <w:sz w:val="32"/>
          <w:szCs w:val="32"/>
          <w:lang w:val="en-US"/>
        </w:rPr>
        <w:t>策勒县</w:t>
      </w:r>
      <w:r>
        <w:rPr>
          <w:rFonts w:hint="eastAsia" w:ascii="仿宋_GB2312" w:hAnsi="仿宋" w:eastAsia="仿宋_GB2312" w:cs="仿宋"/>
          <w:sz w:val="32"/>
          <w:szCs w:val="32"/>
        </w:rPr>
        <w:t>节水型社会建设工作领导小组，领导小组及成员单位工作职责如下：</w:t>
      </w:r>
    </w:p>
    <w:p>
      <w:pPr>
        <w:pStyle w:val="11"/>
        <w:keepNext/>
        <w:widowControl/>
        <w:overflowPunct w:val="0"/>
        <w:topLinePunct/>
        <w:autoSpaceDE/>
        <w:autoSpaceDN/>
        <w:spacing w:line="360" w:lineRule="auto"/>
        <w:ind w:left="0" w:firstLine="643"/>
        <w:jc w:val="both"/>
        <w:outlineLvl w:val="9"/>
        <w:rPr>
          <w:rFonts w:hint="eastAsia" w:ascii="仿宋_GB2312" w:hAnsi="仿宋" w:cs="仿宋"/>
          <w:b/>
          <w:bCs/>
        </w:rPr>
      </w:pPr>
      <w:r>
        <w:rPr>
          <w:rFonts w:hint="eastAsia" w:ascii="仿宋_GB2312" w:hAnsi="仿宋" w:cs="仿宋"/>
          <w:b/>
          <w:bCs/>
        </w:rPr>
        <w:t>一</w:t>
      </w:r>
      <w:r>
        <w:rPr>
          <w:rFonts w:hint="eastAsia" w:ascii="仿宋_GB2312" w:hAnsi="仿宋" w:cs="仿宋"/>
          <w:b/>
          <w:bCs/>
          <w:lang w:val="en-US"/>
        </w:rPr>
        <w:t>、</w:t>
      </w:r>
      <w:r>
        <w:rPr>
          <w:rFonts w:hint="eastAsia" w:ascii="仿宋_GB2312" w:hAnsi="仿宋" w:cs="仿宋"/>
          <w:b/>
          <w:bCs/>
        </w:rPr>
        <w:t>领导小组工作职责</w:t>
      </w:r>
    </w:p>
    <w:p>
      <w:pPr>
        <w:keepNext/>
        <w:widowControl/>
        <w:overflowPunct w:val="0"/>
        <w:topLinePunct/>
        <w:autoSpaceDE/>
        <w:autoSpaceDN/>
        <w:adjustRightInd w:val="0"/>
        <w:snapToGrid w:val="0"/>
        <w:spacing w:line="360" w:lineRule="auto"/>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统一领导全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节水型社会建设工作；决定节水型社会建设重大事项、确定重大建设任务和重大研究项目，解决节水型社会建设中遇到的重大问题；审定成员单位节水型社会建设年度工作计划，部署年度全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节水型社会建设工作，下达节水型社会建设年度工作任务；组织开展全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节水型社会建设工作的检查、评比、考核和奖惩、节水型社会重大建设任务与重大研究项目的验收，督促成员单位认真完成节水型社会建设工作任务；筹措节水型社会建设专项资金。</w:t>
      </w:r>
    </w:p>
    <w:p>
      <w:pPr>
        <w:pStyle w:val="11"/>
        <w:keepNext/>
        <w:widowControl/>
        <w:overflowPunct w:val="0"/>
        <w:topLinePunct/>
        <w:autoSpaceDE/>
        <w:autoSpaceDN/>
        <w:spacing w:line="360" w:lineRule="auto"/>
        <w:ind w:left="0" w:firstLine="643"/>
        <w:jc w:val="both"/>
        <w:outlineLvl w:val="9"/>
        <w:rPr>
          <w:rFonts w:hint="eastAsia" w:ascii="仿宋_GB2312" w:hAnsi="仿宋" w:cs="仿宋"/>
          <w:b/>
          <w:bCs/>
        </w:rPr>
      </w:pPr>
      <w:r>
        <w:rPr>
          <w:rFonts w:hint="eastAsia" w:ascii="仿宋_GB2312" w:hAnsi="仿宋" w:cs="仿宋"/>
          <w:b/>
          <w:bCs/>
        </w:rPr>
        <w:t>二</w:t>
      </w:r>
      <w:r>
        <w:rPr>
          <w:rFonts w:hint="eastAsia" w:ascii="仿宋_GB2312" w:hAnsi="仿宋" w:cs="仿宋"/>
          <w:b/>
          <w:bCs/>
          <w:lang w:val="en-US"/>
        </w:rPr>
        <w:t>、</w:t>
      </w:r>
      <w:r>
        <w:rPr>
          <w:rFonts w:hint="eastAsia" w:ascii="仿宋_GB2312" w:hAnsi="仿宋" w:cs="仿宋"/>
          <w:b/>
          <w:bCs/>
        </w:rPr>
        <w:t>领导小组办公室工作职责</w:t>
      </w:r>
    </w:p>
    <w:p>
      <w:pPr>
        <w:keepNext/>
        <w:widowControl/>
        <w:overflowPunct w:val="0"/>
        <w:topLinePunct/>
        <w:autoSpaceDE/>
        <w:autoSpaceDN/>
        <w:adjustRightInd w:val="0"/>
        <w:snapToGrid w:val="0"/>
        <w:spacing w:line="360" w:lineRule="auto"/>
        <w:ind w:firstLine="640" w:firstLineChars="200"/>
        <w:jc w:val="both"/>
        <w:rPr>
          <w:rFonts w:hint="eastAsia" w:ascii="仿宋_GB2312" w:hAnsi="仿宋" w:eastAsia="仿宋_GB2312" w:cs="仿宋"/>
          <w:sz w:val="32"/>
          <w:szCs w:val="32"/>
        </w:rPr>
      </w:pPr>
      <w:r>
        <w:rPr>
          <w:rFonts w:hint="eastAsia" w:ascii="仿宋_GB2312" w:hAnsi="仿宋" w:eastAsia="仿宋_GB2312" w:cs="仿宋"/>
          <w:sz w:val="32"/>
          <w:szCs w:val="32"/>
        </w:rPr>
        <w:t>承办节水型社会建设工作领导小组日常管理事务，负责召集并组织节水型社会建设领导小组工作会议，督促成员单位落实会议决定事项；负责编制节水型社会建设中长期规划、实施方案，编制全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年度工作计划、工作总结；按领导小组审定的年度目标，督促成员单位完成节水型社会建设年度工作任务；指导创建节水型灌区、节水型企业、公共机构节水型单位、节水型居民小区等节水载体；负责联络有关部门或组织有关专家，讨论成员单位提出的有关节水型社会建设的重大问题，提出解决问题的方案；负责落实节水型社会建设相关政策，制定有关制度，建立节约用水激励机制；负责制定节水型社会建设工作考核办法，承办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工作的检查、评比、考核和奖惩的组织与实施；承办县节水型社会建设工作领导小组下达的重大建设任务和重大研究项目的验收组织工作；负责节水型社会建设专项资金管理；组织开展全县节水宣传；承办县节水型社会建设工作领导小组交办的其他工作。</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b/>
          <w:bCs/>
          <w:kern w:val="28"/>
          <w:sz w:val="32"/>
          <w:szCs w:val="32"/>
        </w:rPr>
      </w:pPr>
      <w:r>
        <w:rPr>
          <w:rFonts w:hint="eastAsia" w:ascii="仿宋_GB2312" w:hAnsi="仿宋" w:eastAsia="仿宋_GB2312" w:cs="仿宋"/>
          <w:b/>
          <w:bCs/>
          <w:kern w:val="28"/>
          <w:sz w:val="32"/>
          <w:szCs w:val="32"/>
        </w:rPr>
        <w:t>三、领导小组成员单位工作职责</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b/>
          <w:sz w:val="32"/>
          <w:szCs w:val="32"/>
        </w:rPr>
      </w:pPr>
      <w:r>
        <w:rPr>
          <w:rFonts w:hint="eastAsia" w:ascii="仿宋_GB2312" w:hAnsi="仿宋" w:eastAsia="仿宋_GB2312" w:cs="仿宋"/>
          <w:b/>
          <w:bCs/>
          <w:sz w:val="32"/>
          <w:szCs w:val="32"/>
        </w:rPr>
        <w:t>县委办公室：</w:t>
      </w:r>
      <w:r>
        <w:rPr>
          <w:rFonts w:hint="eastAsia" w:ascii="仿宋_GB2312" w:hAnsi="仿宋" w:eastAsia="仿宋_GB2312" w:cs="仿宋"/>
          <w:sz w:val="32"/>
          <w:szCs w:val="32"/>
        </w:rPr>
        <w:t>会同有关部门开展节水型社会建设调查研究，及时掌握节水型社会建设运行动态，对节水型社会建设进行科学评价，编制节水型社会建设调查报告，提出解决存在问题的措施和政策建议。</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政府办公室：</w:t>
      </w:r>
      <w:r>
        <w:rPr>
          <w:rFonts w:hint="eastAsia" w:ascii="仿宋_GB2312" w:hAnsi="仿宋" w:eastAsia="仿宋_GB2312" w:cs="仿宋"/>
          <w:sz w:val="32"/>
          <w:szCs w:val="32"/>
        </w:rPr>
        <w:t>督促各级政府全面完成节水型社会建设工作任务，认真落实</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节水型社会建设工作领导小组有关决定事项；建立节水型社会建设工作领导小组会议联络制度，搭建小组联席会议平台，协调信息互通，全面掌握节水型社会建设进展情况；积极开展节水型社会建设政策研究。</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组织部：</w:t>
      </w:r>
      <w:r>
        <w:rPr>
          <w:rFonts w:hint="eastAsia" w:ascii="仿宋_GB2312" w:hAnsi="仿宋" w:eastAsia="仿宋_GB2312" w:cs="仿宋"/>
          <w:sz w:val="32"/>
          <w:szCs w:val="32"/>
          <w:lang w:bidi="ar"/>
        </w:rPr>
        <w:t>负责监督检查各部门单位领导干部在落实</w:t>
      </w:r>
      <w:r>
        <w:rPr>
          <w:rFonts w:hint="eastAsia" w:ascii="仿宋_GB2312" w:hAnsi="仿宋" w:eastAsia="仿宋_GB2312" w:cs="仿宋"/>
          <w:sz w:val="32"/>
          <w:szCs w:val="32"/>
        </w:rPr>
        <w:t>节水型社会建设工作</w:t>
      </w:r>
      <w:r>
        <w:rPr>
          <w:rFonts w:hint="eastAsia" w:ascii="仿宋_GB2312" w:hAnsi="仿宋" w:eastAsia="仿宋_GB2312" w:cs="仿宋"/>
          <w:sz w:val="32"/>
          <w:szCs w:val="32"/>
          <w:lang w:bidi="ar"/>
        </w:rPr>
        <w:t>中的履职情况，对工作责任落实不到位的单位和个人追究相关责任，对工作中失职、渎职等违法违纪行为，严厉查处。</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宣传部：</w:t>
      </w:r>
      <w:r>
        <w:rPr>
          <w:rFonts w:hint="eastAsia" w:ascii="仿宋_GB2312" w:hAnsi="仿宋" w:eastAsia="仿宋_GB2312" w:cs="仿宋"/>
          <w:sz w:val="32"/>
          <w:szCs w:val="32"/>
        </w:rPr>
        <w:t>编制实施全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节水型社会建设宣传方案；组织全县开展节水宣传；组织广播、电视、报刊、互联网等宣传媒体大力进行节水型社会宣传报道。</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发展与改革委员会：</w:t>
      </w:r>
      <w:r>
        <w:rPr>
          <w:rFonts w:hint="eastAsia" w:ascii="仿宋_GB2312" w:hAnsi="仿宋" w:eastAsia="仿宋_GB2312" w:cs="仿宋"/>
          <w:sz w:val="32"/>
          <w:szCs w:val="32"/>
        </w:rPr>
        <w:t>配合节水型社会建设领导小组办公室编制</w:t>
      </w:r>
      <w:r>
        <w:rPr>
          <w:rFonts w:hint="eastAsia" w:ascii="仿宋_GB2312" w:hAnsi="仿宋" w:eastAsia="仿宋_GB2312" w:cs="仿宋"/>
          <w:sz w:val="32"/>
          <w:szCs w:val="32"/>
          <w:lang w:val="en-US"/>
        </w:rPr>
        <w:t>策勒县</w:t>
      </w:r>
      <w:r>
        <w:rPr>
          <w:rFonts w:hint="eastAsia" w:ascii="仿宋_GB2312" w:hAnsi="仿宋" w:eastAsia="仿宋_GB2312" w:cs="仿宋"/>
          <w:sz w:val="32"/>
          <w:szCs w:val="32"/>
        </w:rPr>
        <w:t>节水型社会建设中长期规划；根据水资源承载能力和节水型社会建设实施方案，制定实施全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产业结构调整规划、经济结构调整规划；建立有利于节约用水的水价形成机制；制定水价征收标准调整方案、水费征收范围；制定居民用水阶梯水价制度、非居民用水超计划超定额累进加价制度；监督检查水价、水资源费政策的执行；负责整合节水项目资金。</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商务和工业信息化局：</w:t>
      </w:r>
      <w:r>
        <w:rPr>
          <w:rFonts w:hint="eastAsia" w:ascii="仿宋_GB2312" w:hAnsi="仿宋" w:eastAsia="仿宋_GB2312" w:cs="仿宋"/>
          <w:sz w:val="32"/>
          <w:szCs w:val="32"/>
        </w:rPr>
        <w:t>督促使用公共供水和自建供水设施的企业纳入计划用水管理，并完成对重点用水行业、节水型企业≥50%的建成率，上报≥50%建成率企业的申报材料和节水型社会申报表、水平衡测试报告（测试过程中的测试记录、图片、报告）。</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教育和科学技术局：</w:t>
      </w:r>
      <w:r>
        <w:rPr>
          <w:rFonts w:hint="eastAsia" w:ascii="仿宋_GB2312" w:hAnsi="仿宋" w:eastAsia="仿宋_GB2312" w:cs="仿宋"/>
          <w:sz w:val="32"/>
          <w:szCs w:val="32"/>
        </w:rPr>
        <w:t>负责学校的节水公益宣传活动，普及水情知识和节水知识。</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卫生健康委员会：</w:t>
      </w:r>
      <w:r>
        <w:rPr>
          <w:rFonts w:hint="eastAsia" w:ascii="仿宋_GB2312" w:hAnsi="仿宋" w:eastAsia="仿宋_GB2312" w:cs="仿宋"/>
          <w:sz w:val="32"/>
          <w:szCs w:val="32"/>
        </w:rPr>
        <w:t>负责协调推进节水型社会建设医药卫生体制改革和医疗保障，统筹规划卫生和计划生育服务资源配置。组织制定实施节水型社会建设疾病预防控制规划、免疫规划、严重危害人民健康的公共卫生问题的干预措施，协调有关部门对重大疾病实施综合防控和干预。</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机关事务管理局：</w:t>
      </w:r>
      <w:r>
        <w:rPr>
          <w:rFonts w:hint="eastAsia" w:ascii="仿宋_GB2312" w:hAnsi="仿宋" w:eastAsia="仿宋_GB2312" w:cs="仿宋"/>
          <w:sz w:val="32"/>
          <w:szCs w:val="32"/>
        </w:rPr>
        <w:t>成立办公室，在相关部门抽调人员组成工作人员。监督检查公共机构节水型单位制度的执行情况，完成公共机构节水型单位建成率≥50%的建成率，上报≥50%建成率公共机构节水型单位的申报材料和节水型社会申报表、水平衡测试报告（测试过程中的测试记录、图片、报告）。</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水利局：</w:t>
      </w:r>
      <w:r>
        <w:rPr>
          <w:rFonts w:hint="eastAsia" w:ascii="仿宋_GB2312" w:hAnsi="仿宋" w:eastAsia="仿宋_GB2312" w:cs="仿宋"/>
          <w:sz w:val="32"/>
          <w:szCs w:val="32"/>
        </w:rPr>
        <w:t>负责制定相关工作指标分解方案、实施方案、及保障措施，协调解决节水型社会建设工作落实中存在的各类问题，做好节水型社会建设工作的技术指导，承办节水型领导小组办公室承担的业务工作。完善“全国城市节约用水宣传周”“世界水日”“中国水周”等节水宣传材料。负责城市节水工作会议材料的收集。按照节水型社会建设要求，负责制定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水资源配置方案，实施水资源统一调度；按照国务院有关规定，制定水资源开发、利用、保护方案，落实各项水资源管理制度；组织划定水功能区和地下水禁采区与限采区，加强对水功能区的保护；负责监督城乡饮用水源地的安全；负责全县城县节约用水工作；负责开展节水型社会创建活动，建设节水型社会示范点；负责节水型社会水资源配置工程建设、灌区节水工程建设，组织实施灌区节水改造，积极探索水权转换模式；组织推广节水灌溉技术，开展节水灌溉技术研究，建立农业节水评价指标体系；创建节水型灌区，建设农业节水示范区；负责城乡饮水安全，按照规划完成农村人口安全饮水工程建设任务；组织实施取水许可和建设项目水资源论证制度，加强取用水监管和审批；起草节约用水相关制度，完善节约用水制度体系，建立节约用水激励机制；负责各行业用水定额落实；提出水价、水资源费及污水处理费征收标准的意见；抓好全县的节水宣传工作。</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财政局：</w:t>
      </w:r>
      <w:r>
        <w:rPr>
          <w:rFonts w:hint="eastAsia" w:ascii="仿宋_GB2312" w:hAnsi="仿宋" w:eastAsia="仿宋_GB2312" w:cs="仿宋"/>
          <w:sz w:val="32"/>
          <w:szCs w:val="32"/>
        </w:rPr>
        <w:t>负责落实保障节水型社会创建的相关经费，并监督管理专项资金正确使用；负责建立县节约用水激励机制，筹集年度节水奖励资金；参与水价、水资源费征收标准的调研与制定；负责农业综合开发项目的节水技术推广与应用。</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统计局：</w:t>
      </w:r>
      <w:r>
        <w:rPr>
          <w:rFonts w:hint="eastAsia" w:ascii="仿宋_GB2312" w:hAnsi="仿宋" w:eastAsia="仿宋_GB2312" w:cs="仿宋"/>
          <w:sz w:val="32"/>
          <w:szCs w:val="32"/>
        </w:rPr>
        <w:t>负责按时提供与节水型社会创建有关的统计数据及数据分析；提供辖区内公共机构、居民小区、企业单位名录，以确定创建单位名录。</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生态环境局：</w:t>
      </w:r>
      <w:r>
        <w:rPr>
          <w:rFonts w:hint="eastAsia" w:ascii="仿宋_GB2312" w:hAnsi="仿宋" w:eastAsia="仿宋_GB2312" w:cs="仿宋"/>
          <w:sz w:val="32"/>
          <w:szCs w:val="32"/>
        </w:rPr>
        <w:t>按照节水型社会建设要求，编制实施策勒县重点区域、流域、饮水水源地生态环境规划;负责工业企业水污染物达标排放，落实主要水污染物减排指标，改善策勒县干、支流及其它纳污水体水环境;督促重点排污单位污染物排放在线监测系统建设及联网，加强对重点排污单位水污染物排放监管;做好饮用水水源地监管工作，加强县级以上饮用水水源地的水质监测，定期公示县级以上饮用水水源地水质监测结果;严格落水污染物排放总量控制指标;起草水污染防治相关政策、制度，完善水环境管理制度体系;抓好水环境保护宣传。</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自然资源局：</w:t>
      </w:r>
      <w:r>
        <w:rPr>
          <w:rFonts w:hint="eastAsia" w:ascii="仿宋_GB2312" w:hAnsi="仿宋" w:eastAsia="仿宋_GB2312" w:cs="仿宋"/>
          <w:sz w:val="32"/>
          <w:szCs w:val="32"/>
        </w:rPr>
        <w:t>在矿山开发利用方案编制及监督管理工作中加强对矿坑、采场排水的回用。</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市场监督管理局：</w:t>
      </w:r>
      <w:r>
        <w:rPr>
          <w:rFonts w:hint="eastAsia" w:ascii="仿宋_GB2312" w:hAnsi="仿宋" w:eastAsia="仿宋_GB2312" w:cs="仿宋"/>
          <w:sz w:val="32"/>
          <w:szCs w:val="32"/>
        </w:rPr>
        <w:t>负责节水产品认证工作，执行节水</w:t>
      </w:r>
      <w:r>
        <w:rPr>
          <w:rFonts w:hint="eastAsia" w:ascii="仿宋_GB2312" w:hAnsi="仿宋" w:eastAsia="仿宋_GB2312" w:cs="仿宋"/>
          <w:sz w:val="32"/>
          <w:szCs w:val="32"/>
          <w:lang w:val="en-US" w:eastAsia="zh-CN"/>
        </w:rPr>
        <w:t>相关</w:t>
      </w:r>
      <w:r>
        <w:rPr>
          <w:rFonts w:hint="eastAsia" w:ascii="仿宋_GB2312" w:hAnsi="仿宋" w:eastAsia="仿宋_GB2312" w:cs="仿宋"/>
          <w:sz w:val="32"/>
          <w:szCs w:val="32"/>
        </w:rPr>
        <w:t>标准，建立节水产品</w:t>
      </w:r>
      <w:r>
        <w:rPr>
          <w:rFonts w:hint="eastAsia" w:ascii="仿宋_GB2312" w:hAnsi="仿宋" w:eastAsia="仿宋_GB2312" w:cs="仿宋"/>
          <w:sz w:val="32"/>
          <w:szCs w:val="32"/>
          <w:lang w:val="en-US"/>
        </w:rPr>
        <w:t>市场</w:t>
      </w:r>
      <w:r>
        <w:rPr>
          <w:rFonts w:hint="eastAsia" w:ascii="仿宋_GB2312" w:hAnsi="仿宋" w:eastAsia="仿宋_GB2312" w:cs="仿宋"/>
          <w:sz w:val="32"/>
          <w:szCs w:val="32"/>
        </w:rPr>
        <w:t>准入制度，推广节水型器具相关措施。</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住房和城乡建设局：</w:t>
      </w:r>
      <w:r>
        <w:rPr>
          <w:rFonts w:hint="eastAsia" w:ascii="仿宋_GB2312" w:hAnsi="仿宋" w:eastAsia="仿宋_GB2312" w:cs="仿宋"/>
          <w:sz w:val="32"/>
          <w:szCs w:val="32"/>
        </w:rPr>
        <w:t>负责落实城市建成区内绿化用水和建筑施工用水指标控制、节水器具普及、公共领域节水创建等工作，并加强居民小区监督管理，督促未纳入计划用水管理的居民小区纳入计划管理，完成节水型居民小区的创建工作，上报建成率≥20%居民小区的申报材料和节水型社会申报表。负责城市供水管网的覆盖、分布、改造、日常巡查、维修等工作。收集完善公共供水管网漏失率≤10%印证资料、计量统计台账、首末端计量对比台账、再生水利用工程资料并报送。负责监督落实施工项目实施节水“三同时”制度。</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农业农村局：</w:t>
      </w:r>
      <w:r>
        <w:rPr>
          <w:rFonts w:hint="eastAsia" w:ascii="仿宋_GB2312" w:hAnsi="仿宋" w:eastAsia="仿宋_GB2312" w:cs="仿宋"/>
          <w:sz w:val="32"/>
          <w:szCs w:val="32"/>
        </w:rPr>
        <w:t>根据水资源承载能力和节水型社会建设实施方案，编制实施全</w:t>
      </w:r>
      <w:r>
        <w:rPr>
          <w:rFonts w:hint="eastAsia" w:ascii="仿宋_GB2312" w:hAnsi="仿宋" w:eastAsia="仿宋_GB2312" w:cs="仿宋"/>
          <w:sz w:val="32"/>
          <w:szCs w:val="32"/>
          <w:lang w:val="en-US"/>
        </w:rPr>
        <w:t>县</w:t>
      </w:r>
      <w:r>
        <w:rPr>
          <w:rFonts w:hint="eastAsia" w:ascii="仿宋_GB2312" w:hAnsi="仿宋" w:eastAsia="仿宋_GB2312" w:cs="仿宋"/>
          <w:sz w:val="32"/>
          <w:szCs w:val="32"/>
        </w:rPr>
        <w:t>农业种植结构和农业产业结构调整规划、现代高效节水农业发展规划；负责保障国土资源开发利用与水资源承载能力相适应，监督乡（镇）场完成压减灌溉土地面积任务，提供并复核相关国土资源统计数据；调整农业种植结构和农业产业结构，压减高耗水作物种植面积，大力发展节水高效农业；全面推广农业节水技术，指导适时节水灌溉；建立节水农业评价指标体系；配合水行政主管部门修编农业用水定额；提供相关统计数据。</w:t>
      </w:r>
    </w:p>
    <w:p>
      <w:pPr>
        <w:keepNext/>
        <w:widowControl/>
        <w:overflowPunct w:val="0"/>
        <w:topLinePunct/>
        <w:autoSpaceDE/>
        <w:autoSpaceDN/>
        <w:adjustRightInd w:val="0"/>
        <w:snapToGrid w:val="0"/>
        <w:spacing w:line="360" w:lineRule="auto"/>
        <w:ind w:firstLine="643" w:firstLineChars="200"/>
        <w:jc w:val="both"/>
        <w:rPr>
          <w:rFonts w:hint="eastAsia" w:ascii="仿宋_GB2312" w:hAnsi="仿宋" w:eastAsia="仿宋_GB2312" w:cs="仿宋"/>
          <w:sz w:val="32"/>
          <w:szCs w:val="32"/>
        </w:rPr>
      </w:pPr>
      <w:r>
        <w:rPr>
          <w:rFonts w:hint="eastAsia" w:ascii="仿宋_GB2312" w:hAnsi="仿宋" w:eastAsia="仿宋_GB2312" w:cs="仿宋"/>
          <w:b/>
          <w:bCs/>
          <w:sz w:val="32"/>
          <w:szCs w:val="32"/>
        </w:rPr>
        <w:t>交通运输局：</w:t>
      </w:r>
      <w:r>
        <w:rPr>
          <w:rFonts w:hint="eastAsia" w:ascii="仿宋_GB2312" w:hAnsi="仿宋" w:eastAsia="仿宋_GB2312" w:cs="仿宋"/>
          <w:sz w:val="32"/>
          <w:szCs w:val="32"/>
        </w:rPr>
        <w:t>负责做好城市车辆清洗行业的节水监督管理工作；配合水行政主管部门做好节水型社会创建工作。</w:t>
      </w:r>
    </w:p>
    <w:p>
      <w:pPr>
        <w:pStyle w:val="13"/>
        <w:keepNext/>
        <w:widowControl/>
        <w:overflowPunct w:val="0"/>
        <w:topLinePunct/>
        <w:autoSpaceDE/>
        <w:autoSpaceDN/>
        <w:spacing w:line="592" w:lineRule="exact"/>
        <w:ind w:firstLine="0" w:firstLineChars="0"/>
        <w:rPr>
          <w:rFonts w:hint="eastAsia" w:eastAsia="黑体"/>
          <w:sz w:val="32"/>
          <w:szCs w:val="32"/>
        </w:rPr>
      </w:pPr>
      <w:bookmarkStart w:id="5" w:name="七、保障措施"/>
      <w:bookmarkEnd w:id="5"/>
      <w:bookmarkStart w:id="6" w:name="六、实施步骤"/>
      <w:bookmarkEnd w:id="6"/>
      <w:r>
        <w:rPr>
          <w:rFonts w:hint="eastAsia" w:ascii="仿宋" w:hAnsi="仿宋" w:eastAsia="仿宋" w:cs="仿宋"/>
          <w:sz w:val="32"/>
          <w:szCs w:val="32"/>
        </w:rPr>
        <w:br w:type="page"/>
      </w:r>
      <w:r>
        <w:rPr>
          <w:rFonts w:hint="eastAsia" w:ascii="仿宋_GB2312" w:hAnsi="宋体" w:cs="方正仿宋_GBK"/>
          <w:sz w:val="32"/>
          <w:szCs w:val="32"/>
        </w:rPr>
        <w:t>附件 2</w:t>
      </w:r>
    </w:p>
    <w:p>
      <w:pPr>
        <w:pStyle w:val="16"/>
        <w:tabs>
          <w:tab w:val="left" w:pos="1771"/>
        </w:tabs>
        <w:adjustRightInd w:val="0"/>
        <w:snapToGrid w:val="0"/>
        <w:spacing w:line="360" w:lineRule="auto"/>
        <w:ind w:left="0" w:firstLine="640" w:firstLineChars="200"/>
        <w:rPr>
          <w:rFonts w:hint="eastAsia" w:ascii="黑体" w:hAnsi="黑体" w:eastAsia="黑体" w:cs="黑体"/>
          <w:sz w:val="32"/>
          <w:szCs w:val="32"/>
        </w:rPr>
      </w:pPr>
    </w:p>
    <w:p>
      <w:pPr>
        <w:pStyle w:val="2"/>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节水型社会评价标准（试行）</w:t>
      </w:r>
    </w:p>
    <w:p>
      <w:pPr>
        <w:pStyle w:val="6"/>
        <w:adjustRightInd w:val="0"/>
        <w:snapToGrid w:val="0"/>
        <w:spacing w:line="360" w:lineRule="auto"/>
        <w:ind w:left="0" w:firstLine="602" w:firstLineChars="200"/>
        <w:rPr>
          <w:rFonts w:hint="eastAsia" w:ascii="仿宋_GB2312" w:eastAsia="仿宋_GB2312"/>
          <w:lang w:val="en-US"/>
        </w:rPr>
      </w:pPr>
    </w:p>
    <w:p>
      <w:pPr>
        <w:pStyle w:val="5"/>
        <w:adjustRightInd w:val="0"/>
        <w:snapToGrid w:val="0"/>
        <w:spacing w:line="360" w:lineRule="auto"/>
        <w:ind w:left="0" w:firstLine="643" w:firstLineChars="200"/>
        <w:rPr>
          <w:rFonts w:hint="eastAsia" w:ascii="仿宋_GB2312" w:eastAsia="仿宋_GB2312"/>
          <w:b/>
          <w:bCs/>
        </w:rPr>
      </w:pPr>
      <w:r>
        <w:rPr>
          <w:rFonts w:hint="eastAsia" w:ascii="仿宋_GB2312" w:eastAsia="仿宋_GB2312"/>
          <w:b/>
          <w:bCs/>
        </w:rPr>
        <w:t>一、适用范围</w:t>
      </w:r>
    </w:p>
    <w:p>
      <w:pPr>
        <w:pStyle w:val="7"/>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本标准适用于县级行政区和直辖市所属区(县)节水型社会评价工作。</w:t>
      </w:r>
    </w:p>
    <w:p>
      <w:pPr>
        <w:pStyle w:val="5"/>
        <w:adjustRightInd w:val="0"/>
        <w:snapToGrid w:val="0"/>
        <w:spacing w:line="360" w:lineRule="auto"/>
        <w:ind w:left="0" w:firstLine="643" w:firstLineChars="200"/>
        <w:rPr>
          <w:rFonts w:hint="eastAsia" w:ascii="仿宋_GB2312" w:eastAsia="仿宋_GB2312"/>
          <w:b/>
          <w:bCs/>
        </w:rPr>
      </w:pPr>
      <w:r>
        <w:rPr>
          <w:rFonts w:hint="eastAsia" w:ascii="仿宋_GB2312" w:eastAsia="仿宋_GB2312"/>
          <w:b/>
          <w:bCs/>
        </w:rPr>
        <w:t>二、必备条件</w:t>
      </w:r>
    </w:p>
    <w:p>
      <w:pPr>
        <w:pStyle w:val="16"/>
        <w:tabs>
          <w:tab w:val="left" w:pos="1023"/>
        </w:tabs>
        <w:adjustRightInd w:val="0"/>
        <w:snapToGrid w:val="0"/>
        <w:spacing w:line="360" w:lineRule="auto"/>
        <w:ind w:left="0" w:firstLine="608" w:firstLineChars="200"/>
        <w:rPr>
          <w:rFonts w:hint="eastAsia" w:ascii="仿宋_GB2312" w:hAnsi="仿宋_GB2312" w:eastAsia="仿宋_GB2312" w:cs="仿宋_GB2312"/>
          <w:w w:val="95"/>
          <w:sz w:val="32"/>
          <w:szCs w:val="32"/>
        </w:rPr>
      </w:pPr>
      <w:r>
        <w:rPr>
          <w:rFonts w:hint="eastAsia" w:ascii="仿宋_GB2312" w:hAnsi="仿宋_GB2312" w:eastAsia="仿宋_GB2312" w:cs="仿宋_GB2312"/>
          <w:w w:val="95"/>
          <w:sz w:val="32"/>
          <w:szCs w:val="32"/>
          <w:lang w:val="en-US"/>
        </w:rPr>
        <w:t>1.</w:t>
      </w:r>
      <w:r>
        <w:rPr>
          <w:rFonts w:hint="eastAsia" w:ascii="仿宋_GB2312" w:hAnsi="仿宋_GB2312" w:eastAsia="仿宋_GB2312" w:cs="仿宋_GB2312"/>
          <w:w w:val="95"/>
          <w:sz w:val="32"/>
          <w:szCs w:val="32"/>
        </w:rPr>
        <w:t>最严格水资源管理制度、水资源消耗总量和强度双控行动确定的控制指标全部达到年度目标要求。</w:t>
      </w:r>
    </w:p>
    <w:p>
      <w:pPr>
        <w:pStyle w:val="16"/>
        <w:tabs>
          <w:tab w:val="left" w:pos="1023"/>
        </w:tabs>
        <w:adjustRightInd w:val="0"/>
        <w:snapToGrid w:val="0"/>
        <w:spacing w:line="360" w:lineRule="auto"/>
        <w:ind w:left="0" w:firstLine="608" w:firstLineChars="200"/>
        <w:rPr>
          <w:rFonts w:hint="eastAsia" w:ascii="仿宋_GB2312" w:hAnsi="仿宋_GB2312" w:eastAsia="仿宋_GB2312" w:cs="仿宋_GB2312"/>
          <w:w w:val="95"/>
          <w:sz w:val="28"/>
          <w:szCs w:val="28"/>
        </w:rPr>
      </w:pPr>
      <w:r>
        <w:rPr>
          <w:rFonts w:hint="eastAsia" w:ascii="仿宋_GB2312" w:hAnsi="仿宋_GB2312" w:eastAsia="仿宋_GB2312" w:cs="仿宋_GB2312"/>
          <w:w w:val="95"/>
          <w:sz w:val="32"/>
          <w:szCs w:val="32"/>
          <w:lang w:val="en-US"/>
        </w:rPr>
        <w:t>2.</w:t>
      </w:r>
      <w:r>
        <w:rPr>
          <w:rFonts w:hint="eastAsia" w:ascii="仿宋_GB2312" w:hAnsi="仿宋_GB2312" w:eastAsia="仿宋_GB2312" w:cs="仿宋_GB2312"/>
          <w:w w:val="95"/>
          <w:sz w:val="32"/>
          <w:szCs w:val="32"/>
        </w:rPr>
        <w:t>近两年实行最严格水资源管理制度考核结果为良好及以上。</w:t>
      </w:r>
    </w:p>
    <w:p>
      <w:pPr>
        <w:pStyle w:val="16"/>
        <w:tabs>
          <w:tab w:val="left" w:pos="1023"/>
        </w:tabs>
        <w:adjustRightInd w:val="0"/>
        <w:snapToGrid w:val="0"/>
        <w:spacing w:line="360" w:lineRule="auto"/>
        <w:ind w:left="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rPr>
        <w:t>3.</w:t>
      </w:r>
      <w:r>
        <w:rPr>
          <w:rFonts w:hint="eastAsia" w:ascii="仿宋_GB2312" w:hAnsi="仿宋_GB2312" w:eastAsia="仿宋_GB2312" w:cs="仿宋_GB2312"/>
          <w:sz w:val="32"/>
          <w:szCs w:val="32"/>
        </w:rPr>
        <w:t>节水管理机构健全，职责明确、人员齐备。</w:t>
      </w:r>
    </w:p>
    <w:p>
      <w:pPr>
        <w:pStyle w:val="5"/>
        <w:adjustRightInd w:val="0"/>
        <w:snapToGrid w:val="0"/>
        <w:spacing w:line="360" w:lineRule="auto"/>
        <w:ind w:left="0" w:firstLine="643" w:firstLineChars="200"/>
        <w:rPr>
          <w:rFonts w:hint="eastAsia" w:ascii="仿宋_GB2312" w:eastAsia="仿宋_GB2312"/>
          <w:b/>
          <w:bCs/>
        </w:rPr>
      </w:pPr>
      <w:r>
        <w:rPr>
          <w:rFonts w:hint="eastAsia" w:ascii="仿宋_GB2312" w:eastAsia="仿宋_GB2312"/>
          <w:b/>
          <w:bCs/>
        </w:rPr>
        <w:t>三、评价方法</w:t>
      </w:r>
    </w:p>
    <w:p>
      <w:pPr>
        <w:pStyle w:val="16"/>
        <w:tabs>
          <w:tab w:val="left" w:pos="1023"/>
        </w:tabs>
        <w:adjustRightInd w:val="0"/>
        <w:snapToGrid w:val="0"/>
        <w:spacing w:line="360" w:lineRule="auto"/>
        <w:ind w:left="0" w:firstLine="588" w:firstLineChars="200"/>
        <w:rPr>
          <w:rFonts w:hint="eastAsia" w:ascii="仿宋_GB2312" w:hAnsi="仿宋_GB2312" w:eastAsia="仿宋_GB2312" w:cs="仿宋_GB2312"/>
          <w:w w:val="99"/>
          <w:sz w:val="32"/>
          <w:szCs w:val="32"/>
        </w:rPr>
      </w:pPr>
      <w:r>
        <w:rPr>
          <w:rFonts w:hint="eastAsia" w:ascii="仿宋_GB2312" w:hAnsi="仿宋_GB2312" w:eastAsia="仿宋_GB2312" w:cs="仿宋_GB2312"/>
          <w:spacing w:val="-11"/>
          <w:w w:val="99"/>
          <w:sz w:val="32"/>
          <w:szCs w:val="32"/>
          <w:lang w:val="en-US"/>
        </w:rPr>
        <w:t>1.</w:t>
      </w:r>
      <w:r>
        <w:rPr>
          <w:rFonts w:hint="eastAsia" w:ascii="仿宋_GB2312" w:hAnsi="仿宋_GB2312" w:eastAsia="仿宋_GB2312" w:cs="仿宋_GB2312"/>
          <w:spacing w:val="-11"/>
          <w:w w:val="99"/>
          <w:sz w:val="32"/>
          <w:szCs w:val="32"/>
        </w:rPr>
        <w:t>除标准特别指出之外，应当采用上一年的资料和数据进行</w:t>
      </w:r>
      <w:r>
        <w:rPr>
          <w:rFonts w:hint="eastAsia" w:ascii="仿宋_GB2312" w:hAnsi="仿宋_GB2312" w:eastAsia="仿宋_GB2312" w:cs="仿宋_GB2312"/>
          <w:w w:val="99"/>
          <w:sz w:val="32"/>
          <w:szCs w:val="32"/>
        </w:rPr>
        <w:t>评价计算得分。</w:t>
      </w:r>
    </w:p>
    <w:p>
      <w:pPr>
        <w:pStyle w:val="16"/>
        <w:tabs>
          <w:tab w:val="left" w:pos="1023"/>
        </w:tabs>
        <w:adjustRightInd w:val="0"/>
        <w:snapToGrid w:val="0"/>
        <w:spacing w:line="360" w:lineRule="auto"/>
        <w:ind w:left="0" w:firstLine="632" w:firstLineChars="200"/>
        <w:rPr>
          <w:rFonts w:hint="eastAsia" w:ascii="仿宋_GB2312" w:hAnsi="仿宋_GB2312" w:eastAsia="仿宋_GB2312" w:cs="仿宋_GB2312"/>
          <w:w w:val="99"/>
          <w:sz w:val="32"/>
          <w:szCs w:val="32"/>
        </w:rPr>
      </w:pPr>
      <w:r>
        <w:rPr>
          <w:rFonts w:hint="eastAsia" w:ascii="仿宋_GB2312" w:hAnsi="仿宋_GB2312" w:eastAsia="仿宋_GB2312" w:cs="仿宋_GB2312"/>
          <w:w w:val="99"/>
          <w:sz w:val="32"/>
          <w:szCs w:val="32"/>
          <w:lang w:val="en-US"/>
        </w:rPr>
        <w:t>2.</w:t>
      </w:r>
      <w:r>
        <w:rPr>
          <w:rFonts w:hint="eastAsia" w:ascii="仿宋_GB2312" w:hAnsi="仿宋_GB2312" w:eastAsia="仿宋_GB2312" w:cs="仿宋_GB2312"/>
          <w:w w:val="99"/>
          <w:sz w:val="32"/>
          <w:szCs w:val="32"/>
        </w:rPr>
        <w:t>总分 85 分以上者认定为达到节水型社会标准要求。</w:t>
      </w:r>
    </w:p>
    <w:p>
      <w:pPr>
        <w:pStyle w:val="16"/>
        <w:tabs>
          <w:tab w:val="left" w:pos="1023"/>
        </w:tabs>
        <w:adjustRightInd w:val="0"/>
        <w:snapToGrid w:val="0"/>
        <w:spacing w:line="360" w:lineRule="auto"/>
        <w:ind w:left="0" w:firstLine="632" w:firstLineChars="200"/>
        <w:rPr>
          <w:rFonts w:hint="eastAsia" w:ascii="仿宋_GB2312" w:hAnsi="仿宋_GB2312" w:eastAsia="仿宋_GB2312" w:cs="仿宋_GB2312"/>
          <w:w w:val="99"/>
          <w:sz w:val="32"/>
          <w:szCs w:val="32"/>
        </w:rPr>
        <w:sectPr>
          <w:footerReference r:id="rId3" w:type="default"/>
          <w:type w:val="nextColumn"/>
          <w:pgSz w:w="11849" w:h="16781"/>
          <w:pgMar w:top="1440" w:right="1797" w:bottom="1440" w:left="1797" w:header="720" w:footer="720" w:gutter="0"/>
          <w:pgNumType w:fmt="numberInDash"/>
          <w:cols w:space="720" w:num="1"/>
        </w:sectPr>
      </w:pPr>
      <w:r>
        <w:rPr>
          <w:rFonts w:hint="eastAsia" w:ascii="仿宋_GB2312" w:hAnsi="仿宋_GB2312" w:eastAsia="仿宋_GB2312" w:cs="仿宋_GB2312"/>
          <w:w w:val="99"/>
          <w:sz w:val="32"/>
          <w:szCs w:val="32"/>
          <w:lang w:val="en-US"/>
        </w:rPr>
        <w:t>3.</w:t>
      </w:r>
      <w:r>
        <w:rPr>
          <w:rFonts w:hint="eastAsia" w:ascii="仿宋_GB2312" w:hAnsi="仿宋_GB2312" w:eastAsia="仿宋_GB2312" w:cs="仿宋_GB2312"/>
          <w:w w:val="99"/>
          <w:sz w:val="32"/>
          <w:szCs w:val="32"/>
        </w:rPr>
        <w:t>如遇缺项，则该项不得分，评价总分按照公式进行折算，折算公式为:评价总分=(实际总得分-加分项得分）*100/(100</w:t>
      </w:r>
      <w:r>
        <w:rPr>
          <w:rFonts w:hint="eastAsia" w:ascii="仿宋_GB2312" w:hAnsi="仿宋_GB2312" w:eastAsia="仿宋_GB2312" w:cs="仿宋_GB2312"/>
          <w:w w:val="99"/>
          <w:sz w:val="32"/>
          <w:szCs w:val="32"/>
          <w:lang w:val="en-US"/>
        </w:rPr>
        <w:t>-</w:t>
      </w:r>
      <w:r>
        <w:rPr>
          <w:rFonts w:hint="eastAsia" w:ascii="仿宋_GB2312" w:hAnsi="仿宋_GB2312" w:eastAsia="仿宋_GB2312" w:cs="仿宋_GB2312"/>
          <w:w w:val="99"/>
          <w:sz w:val="32"/>
          <w:szCs w:val="32"/>
        </w:rPr>
        <w:t>缺项对应分值）+加分项得分。加分项不计入缺项。</w:t>
      </w:r>
    </w:p>
    <w:p>
      <w:pPr>
        <w:autoSpaceDE/>
        <w:autoSpaceDN/>
        <w:spacing w:before="120" w:beforeLines="50" w:after="120" w:afterLines="50"/>
        <w:jc w:val="center"/>
        <w:rPr>
          <w:rFonts w:cs="Times New Roman"/>
          <w:b/>
          <w:kern w:val="2"/>
          <w:sz w:val="32"/>
          <w:szCs w:val="32"/>
          <w:lang w:val="en-US" w:bidi="ar-SA"/>
        </w:rPr>
      </w:pPr>
      <w:r>
        <w:rPr>
          <w:rFonts w:hint="eastAsia" w:cs="Times New Roman"/>
          <w:b/>
          <w:kern w:val="2"/>
          <w:sz w:val="32"/>
          <w:szCs w:val="32"/>
          <w:lang w:val="en-US" w:bidi="ar-SA"/>
        </w:rPr>
        <w:t>节水型社会评价赋分表</w:t>
      </w:r>
    </w:p>
    <w:tbl>
      <w:tblPr>
        <w:tblStyle w:val="15"/>
        <w:tblW w:w="8784" w:type="dxa"/>
        <w:jc w:val="center"/>
        <w:tblInd w:w="0" w:type="dxa"/>
        <w:tblLayout w:type="fixed"/>
        <w:tblCellMar>
          <w:top w:w="0" w:type="dxa"/>
          <w:left w:w="108" w:type="dxa"/>
          <w:bottom w:w="0" w:type="dxa"/>
          <w:right w:w="108" w:type="dxa"/>
        </w:tblCellMar>
      </w:tblPr>
      <w:tblGrid>
        <w:gridCol w:w="495"/>
        <w:gridCol w:w="798"/>
        <w:gridCol w:w="2853"/>
        <w:gridCol w:w="4143"/>
        <w:gridCol w:w="495"/>
      </w:tblGrid>
      <w:tr>
        <w:tblPrEx>
          <w:tblLayout w:type="fixed"/>
          <w:tblCellMar>
            <w:top w:w="0" w:type="dxa"/>
            <w:left w:w="108" w:type="dxa"/>
            <w:bottom w:w="0" w:type="dxa"/>
            <w:right w:w="108" w:type="dxa"/>
          </w:tblCellMar>
        </w:tblPrEx>
        <w:trPr>
          <w:trHeight w:val="600" w:hRule="atLeast"/>
          <w:tblHeader/>
          <w:jc w:val="center"/>
        </w:trPr>
        <w:tc>
          <w:tcPr>
            <w:tcW w:w="49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jc w:val="center"/>
              <w:rPr>
                <w:rFonts w:ascii="微软雅黑" w:hAnsi="微软雅黑" w:eastAsia="微软雅黑"/>
                <w:b/>
                <w:bCs/>
                <w:color w:val="000000"/>
                <w:sz w:val="21"/>
                <w:szCs w:val="21"/>
                <w:lang w:val="en-US" w:bidi="ar-SA"/>
              </w:rPr>
            </w:pPr>
            <w:r>
              <w:rPr>
                <w:rFonts w:hint="eastAsia" w:ascii="微软雅黑" w:hAnsi="微软雅黑" w:eastAsia="微软雅黑"/>
                <w:b/>
                <w:bCs/>
                <w:color w:val="000000"/>
                <w:sz w:val="21"/>
                <w:szCs w:val="21"/>
                <w:lang w:val="en-US" w:bidi="ar-SA"/>
              </w:rPr>
              <w:t>序号</w:t>
            </w:r>
          </w:p>
        </w:tc>
        <w:tc>
          <w:tcPr>
            <w:tcW w:w="798"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b/>
                <w:bCs/>
                <w:color w:val="000000"/>
                <w:sz w:val="21"/>
                <w:szCs w:val="21"/>
                <w:lang w:val="en-US" w:bidi="ar-SA"/>
              </w:rPr>
            </w:pPr>
            <w:r>
              <w:rPr>
                <w:rFonts w:hint="eastAsia" w:ascii="微软雅黑" w:hAnsi="微软雅黑" w:eastAsia="微软雅黑"/>
                <w:b/>
                <w:bCs/>
                <w:color w:val="000000"/>
                <w:sz w:val="21"/>
                <w:szCs w:val="21"/>
                <w:lang w:val="en-US" w:bidi="ar-SA"/>
              </w:rPr>
              <w:t>评价类别</w:t>
            </w:r>
          </w:p>
        </w:tc>
        <w:tc>
          <w:tcPr>
            <w:tcW w:w="2853"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b/>
                <w:bCs/>
                <w:color w:val="000000"/>
                <w:sz w:val="21"/>
                <w:szCs w:val="21"/>
                <w:lang w:val="en-US" w:bidi="ar-SA"/>
              </w:rPr>
            </w:pPr>
            <w:r>
              <w:rPr>
                <w:rFonts w:hint="eastAsia" w:ascii="微软雅黑" w:hAnsi="微软雅黑" w:eastAsia="微软雅黑"/>
                <w:b/>
                <w:bCs/>
                <w:color w:val="000000"/>
                <w:sz w:val="21"/>
                <w:szCs w:val="21"/>
                <w:lang w:val="en-US" w:bidi="ar-SA"/>
              </w:rPr>
              <w:t>评价内容</w:t>
            </w:r>
          </w:p>
        </w:tc>
        <w:tc>
          <w:tcPr>
            <w:tcW w:w="4143"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b/>
                <w:bCs/>
                <w:color w:val="000000"/>
                <w:sz w:val="21"/>
                <w:szCs w:val="21"/>
                <w:lang w:val="en-US" w:bidi="ar-SA"/>
              </w:rPr>
            </w:pPr>
            <w:r>
              <w:rPr>
                <w:rFonts w:hint="eastAsia" w:ascii="微软雅黑" w:hAnsi="微软雅黑" w:eastAsia="微软雅黑"/>
                <w:b/>
                <w:bCs/>
                <w:color w:val="000000"/>
                <w:sz w:val="21"/>
                <w:szCs w:val="21"/>
                <w:lang w:val="en-US" w:bidi="ar-SA"/>
              </w:rPr>
              <w:t>评分标准</w:t>
            </w:r>
          </w:p>
        </w:tc>
        <w:tc>
          <w:tcPr>
            <w:tcW w:w="495" w:type="dxa"/>
            <w:tcBorders>
              <w:top w:val="single" w:color="auto" w:sz="4" w:space="0"/>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b/>
                <w:bCs/>
                <w:color w:val="000000"/>
                <w:sz w:val="21"/>
                <w:szCs w:val="21"/>
                <w:lang w:val="en-US" w:bidi="ar-SA"/>
              </w:rPr>
            </w:pPr>
            <w:r>
              <w:rPr>
                <w:rFonts w:hint="eastAsia" w:ascii="微软雅黑" w:hAnsi="微软雅黑" w:eastAsia="微软雅黑"/>
                <w:b/>
                <w:bCs/>
                <w:color w:val="000000"/>
                <w:sz w:val="21"/>
                <w:szCs w:val="21"/>
                <w:lang w:val="en-US" w:bidi="ar-SA"/>
              </w:rPr>
              <w:t>分数</w:t>
            </w:r>
          </w:p>
        </w:tc>
      </w:tr>
      <w:tr>
        <w:tblPrEx>
          <w:tblLayout w:type="fixed"/>
          <w:tblCellMar>
            <w:top w:w="0" w:type="dxa"/>
            <w:left w:w="108" w:type="dxa"/>
            <w:bottom w:w="0" w:type="dxa"/>
            <w:right w:w="108" w:type="dxa"/>
          </w:tblCellMar>
        </w:tblPrEx>
        <w:trPr>
          <w:trHeight w:val="1800"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w:t>
            </w:r>
          </w:p>
        </w:tc>
        <w:tc>
          <w:tcPr>
            <w:tcW w:w="798"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用水定额管理</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严格各行业用水定额管理，强化定额使用</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在水资源论证、取水许可、节水载体认定等工作中严格执行用水定额，得8分。在近两年上级部门水资源管理监督检查中，发现一例未按规定使用用水定额的，扣1分，扣完为止</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8</w:t>
            </w:r>
          </w:p>
        </w:tc>
      </w:tr>
      <w:tr>
        <w:tblPrEx>
          <w:tblLayout w:type="fixed"/>
          <w:tblCellMar>
            <w:top w:w="0" w:type="dxa"/>
            <w:left w:w="108" w:type="dxa"/>
            <w:bottom w:w="0" w:type="dxa"/>
            <w:right w:w="108" w:type="dxa"/>
          </w:tblCellMar>
        </w:tblPrEx>
        <w:trPr>
          <w:trHeight w:val="1540"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2</w:t>
            </w:r>
          </w:p>
        </w:tc>
        <w:tc>
          <w:tcPr>
            <w:tcW w:w="798"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计划用水管理</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纳入计划用水管理的城镇非居民用水单位</w:t>
            </w:r>
            <w:r>
              <w:rPr>
                <w:rFonts w:hint="eastAsia" w:ascii="微软雅黑" w:hAnsi="微软雅黑" w:eastAsia="微软雅黑"/>
                <w:color w:val="000000"/>
                <w:sz w:val="21"/>
                <w:szCs w:val="21"/>
                <w:vertAlign w:val="superscript"/>
                <w:lang w:val="en-US" w:bidi="ar-SA"/>
              </w:rPr>
              <w:t>[1]</w:t>
            </w:r>
            <w:r>
              <w:rPr>
                <w:rFonts w:hint="eastAsia" w:ascii="微软雅黑" w:hAnsi="微软雅黑" w:eastAsia="微软雅黑"/>
                <w:color w:val="000000"/>
                <w:sz w:val="21"/>
                <w:szCs w:val="21"/>
                <w:lang w:val="en-US" w:bidi="ar-SA"/>
              </w:rPr>
              <w:t>数量占应纳入计划用水管理的城镇非居民用水单位数量的比例</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所占比例达到100%，得10分；每低3%，扣1分，扣完为止</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10</w:t>
            </w:r>
          </w:p>
        </w:tc>
      </w:tr>
      <w:tr>
        <w:tblPrEx>
          <w:tblLayout w:type="fixed"/>
          <w:tblCellMar>
            <w:top w:w="0" w:type="dxa"/>
            <w:left w:w="108" w:type="dxa"/>
            <w:bottom w:w="0" w:type="dxa"/>
            <w:right w:w="108" w:type="dxa"/>
          </w:tblCellMar>
        </w:tblPrEx>
        <w:trPr>
          <w:trHeight w:val="1500" w:hRule="atLeast"/>
          <w:jc w:val="center"/>
        </w:trPr>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3</w:t>
            </w:r>
          </w:p>
        </w:tc>
        <w:tc>
          <w:tcPr>
            <w:tcW w:w="798" w:type="dxa"/>
            <w:vMerge w:val="restart"/>
            <w:tcBorders>
              <w:top w:val="nil"/>
              <w:left w:val="single" w:color="auto" w:sz="4" w:space="0"/>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用水计量</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农业灌溉用水计量率</w:t>
            </w:r>
            <w:r>
              <w:rPr>
                <w:rFonts w:hint="eastAsia" w:ascii="微软雅黑" w:hAnsi="微软雅黑" w:eastAsia="微软雅黑"/>
                <w:color w:val="000000"/>
                <w:sz w:val="21"/>
                <w:szCs w:val="21"/>
                <w:vertAlign w:val="superscript"/>
                <w:lang w:val="en-US" w:bidi="ar-SA"/>
              </w:rPr>
              <w:t>[2]</w:t>
            </w:r>
            <w:r>
              <w:rPr>
                <w:rFonts w:hint="eastAsia" w:ascii="微软雅黑" w:hAnsi="微软雅黑" w:eastAsia="微软雅黑"/>
                <w:color w:val="000000"/>
                <w:sz w:val="21"/>
                <w:szCs w:val="21"/>
                <w:lang w:val="en-US" w:bidi="ar-SA"/>
              </w:rPr>
              <w:t>：农业灌溉用水计量水量占农业灌溉用水总量的比例</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eastAsia="zh-CN" w:bidi="ar-SA"/>
              </w:rPr>
            </w:pPr>
            <w:r>
              <w:rPr>
                <w:rFonts w:hint="eastAsia" w:ascii="微软雅黑" w:hAnsi="微软雅黑" w:eastAsia="微软雅黑"/>
                <w:color w:val="000000"/>
                <w:sz w:val="21"/>
                <w:szCs w:val="21"/>
                <w:lang w:val="en-US" w:bidi="ar-SA"/>
              </w:rPr>
              <w:t>北方地区</w:t>
            </w:r>
            <w:r>
              <w:rPr>
                <w:rFonts w:hint="eastAsia" w:ascii="微软雅黑" w:hAnsi="微软雅黑" w:eastAsia="微软雅黑"/>
                <w:color w:val="000000"/>
                <w:sz w:val="21"/>
                <w:szCs w:val="21"/>
                <w:vertAlign w:val="superscript"/>
                <w:lang w:val="en-US" w:bidi="ar-SA"/>
              </w:rPr>
              <w:t>[3]</w:t>
            </w:r>
            <w:r>
              <w:rPr>
                <w:rFonts w:hint="eastAsia" w:ascii="微软雅黑" w:hAnsi="微软雅黑" w:eastAsia="微软雅黑"/>
                <w:color w:val="000000"/>
                <w:sz w:val="21"/>
                <w:szCs w:val="21"/>
                <w:lang w:val="en-US" w:bidi="ar-SA"/>
              </w:rPr>
              <w:t>：农业灌溉用水计量率≥80%，得5分；每低4%，扣1分，扣完为止</w:t>
            </w:r>
          </w:p>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南方地区</w:t>
            </w:r>
            <w:r>
              <w:rPr>
                <w:rFonts w:hint="eastAsia" w:ascii="微软雅黑" w:hAnsi="微软雅黑" w:eastAsia="微软雅黑"/>
                <w:color w:val="000000"/>
                <w:sz w:val="21"/>
                <w:szCs w:val="21"/>
                <w:vertAlign w:val="superscript"/>
                <w:lang w:val="en-US" w:bidi="ar-SA"/>
              </w:rPr>
              <w:t>[3]</w:t>
            </w:r>
            <w:r>
              <w:rPr>
                <w:rFonts w:hint="eastAsia" w:ascii="微软雅黑" w:hAnsi="微软雅黑" w:eastAsia="微软雅黑"/>
                <w:color w:val="000000"/>
                <w:sz w:val="21"/>
                <w:szCs w:val="21"/>
                <w:lang w:val="en-US" w:bidi="ar-SA"/>
              </w:rPr>
              <w:t>：农业灌溉用水计量率≥60%，得5分；每低4%，扣1分，扣完为止</w:t>
            </w:r>
          </w:p>
        </w:tc>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10</w:t>
            </w:r>
          </w:p>
        </w:tc>
      </w:tr>
      <w:tr>
        <w:tblPrEx>
          <w:tblLayout w:type="fixed"/>
          <w:tblCellMar>
            <w:top w:w="0" w:type="dxa"/>
            <w:left w:w="108" w:type="dxa"/>
            <w:bottom w:w="0" w:type="dxa"/>
            <w:right w:w="108" w:type="dxa"/>
          </w:tblCellMar>
        </w:tblPrEx>
        <w:trPr>
          <w:trHeight w:val="150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工业用水计量率：工业用水计量水量与工业用水总量的比值</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工业用水计量率为100%，得5分；每低3%，扣1分，扣完为止。规模以上工业企业</w:t>
            </w:r>
            <w:r>
              <w:rPr>
                <w:rFonts w:hint="eastAsia" w:ascii="微软雅黑" w:hAnsi="微软雅黑" w:eastAsia="微软雅黑"/>
                <w:color w:val="000000"/>
                <w:sz w:val="21"/>
                <w:szCs w:val="21"/>
                <w:vertAlign w:val="superscript"/>
                <w:lang w:val="en-US" w:bidi="ar-SA"/>
              </w:rPr>
              <w:t>[4]</w:t>
            </w:r>
            <w:r>
              <w:rPr>
                <w:rFonts w:hint="eastAsia" w:ascii="微软雅黑" w:hAnsi="微软雅黑" w:eastAsia="微软雅黑"/>
                <w:color w:val="000000"/>
                <w:sz w:val="21"/>
                <w:szCs w:val="21"/>
                <w:lang w:val="en-US" w:bidi="ar-SA"/>
              </w:rPr>
              <w:t>用水计量率必须达到100%，否则本项得0分</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2100" w:hRule="atLeast"/>
          <w:jc w:val="center"/>
        </w:trPr>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4</w:t>
            </w:r>
          </w:p>
        </w:tc>
        <w:tc>
          <w:tcPr>
            <w:tcW w:w="798" w:type="dxa"/>
            <w:vMerge w:val="restart"/>
            <w:tcBorders>
              <w:top w:val="nil"/>
              <w:left w:val="single" w:color="auto" w:sz="4" w:space="0"/>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水价机制</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推进农业水价综合改革，建立健全农业水价形成机制，推进农业水权制度建设，建立农业用水精准补贴和节水奖励机制</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eastAsia="zh-CN" w:bidi="ar-SA"/>
              </w:rPr>
            </w:pPr>
            <w:r>
              <w:rPr>
                <w:rFonts w:hint="eastAsia" w:ascii="微软雅黑" w:hAnsi="微软雅黑" w:eastAsia="微软雅黑"/>
                <w:color w:val="000000"/>
                <w:sz w:val="21"/>
                <w:szCs w:val="21"/>
                <w:lang w:val="en-US" w:bidi="ar-SA"/>
              </w:rPr>
              <w:t>农业水价综合改革实际实施面积占计划实施面积</w:t>
            </w:r>
            <w:r>
              <w:rPr>
                <w:rFonts w:hint="eastAsia" w:ascii="微软雅黑" w:hAnsi="微软雅黑" w:eastAsia="微软雅黑"/>
                <w:color w:val="000000"/>
                <w:sz w:val="21"/>
                <w:szCs w:val="21"/>
                <w:vertAlign w:val="superscript"/>
                <w:lang w:val="en-US" w:bidi="ar-SA"/>
              </w:rPr>
              <w:t>[5]</w:t>
            </w:r>
            <w:r>
              <w:rPr>
                <w:rFonts w:hint="eastAsia" w:ascii="微软雅黑" w:hAnsi="微软雅黑" w:eastAsia="微软雅黑"/>
                <w:color w:val="000000"/>
                <w:sz w:val="21"/>
                <w:szCs w:val="21"/>
                <w:lang w:val="en-US" w:bidi="ar-SA"/>
              </w:rPr>
              <w:t>比达到100%，得2分；每低2%，扣0.1分，扣完为止</w:t>
            </w:r>
          </w:p>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实际执行水价加精准补贴（补贴工程运行维护费部分）占运行维护成本比达到100%，得2分；每低2%，扣0.1分，扣完为止</w:t>
            </w:r>
          </w:p>
        </w:tc>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16</w:t>
            </w:r>
          </w:p>
        </w:tc>
      </w:tr>
      <w:tr>
        <w:tblPrEx>
          <w:tblLayout w:type="fixed"/>
          <w:tblCellMar>
            <w:top w:w="0" w:type="dxa"/>
            <w:left w:w="108" w:type="dxa"/>
            <w:bottom w:w="0" w:type="dxa"/>
            <w:right w:w="108" w:type="dxa"/>
          </w:tblCellMar>
        </w:tblPrEx>
        <w:trPr>
          <w:trHeight w:val="90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实行居民用水阶梯水价制度</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城镇居民生活用水实行阶梯水价制度，得4分；未实行，得0分</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90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实行非居民用水超计划超定额累进加价制度</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非居民用水实行超计划超定额累进加价制度，得4分；未实行，得0分</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90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水资源费征缴</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按标准足额征缴水资源费，得4分；在近两年上级部门水资源管理监督检查中，发现1例未足额征缴的，扣1分，扣完为止</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1500"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5</w:t>
            </w:r>
          </w:p>
        </w:tc>
        <w:tc>
          <w:tcPr>
            <w:tcW w:w="798"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节水“三同时”管理</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新（改、扩）建建设项目执行节水设施与主体工程同时设计、同时施工、同时投产制度</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新（改、扩）建建设项目全部执行节水“三同时”管理制度，得6分；在近两年上级部门水资源管理监督检查中，发现1例未落实节水“三同时”制度的，扣1分，扣完为止</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6</w:t>
            </w:r>
          </w:p>
        </w:tc>
      </w:tr>
      <w:tr>
        <w:tblPrEx>
          <w:tblLayout w:type="fixed"/>
          <w:tblCellMar>
            <w:top w:w="0" w:type="dxa"/>
            <w:left w:w="108" w:type="dxa"/>
            <w:bottom w:w="0" w:type="dxa"/>
            <w:right w:w="108" w:type="dxa"/>
          </w:tblCellMar>
        </w:tblPrEx>
        <w:trPr>
          <w:trHeight w:val="1500" w:hRule="atLeast"/>
          <w:jc w:val="center"/>
        </w:trPr>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6</w:t>
            </w:r>
          </w:p>
        </w:tc>
        <w:tc>
          <w:tcPr>
            <w:tcW w:w="798" w:type="dxa"/>
            <w:vMerge w:val="restart"/>
            <w:tcBorders>
              <w:top w:val="nil"/>
              <w:left w:val="single" w:color="auto" w:sz="4" w:space="0"/>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节水载体建设</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节水型企业建成率：重点用水行业</w:t>
            </w:r>
            <w:r>
              <w:rPr>
                <w:rFonts w:hint="eastAsia" w:ascii="微软雅黑" w:hAnsi="微软雅黑" w:eastAsia="微软雅黑"/>
                <w:color w:val="000000"/>
                <w:sz w:val="21"/>
                <w:szCs w:val="21"/>
                <w:vertAlign w:val="superscript"/>
                <w:lang w:val="en-US" w:bidi="ar-SA"/>
              </w:rPr>
              <w:t>[6]</w:t>
            </w:r>
            <w:r>
              <w:rPr>
                <w:rFonts w:hint="eastAsia" w:ascii="微软雅黑" w:hAnsi="微软雅黑" w:eastAsia="微软雅黑"/>
                <w:color w:val="000000"/>
                <w:sz w:val="21"/>
                <w:szCs w:val="21"/>
                <w:lang w:val="en-US" w:bidi="ar-SA"/>
              </w:rPr>
              <w:t>节水型企业数量与重点用水行业企业总数的比值</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eastAsia="zh-CN" w:bidi="ar-SA"/>
              </w:rPr>
            </w:pPr>
            <w:r>
              <w:rPr>
                <w:rFonts w:hint="eastAsia" w:ascii="微软雅黑" w:hAnsi="微软雅黑" w:eastAsia="微软雅黑"/>
                <w:color w:val="000000"/>
                <w:sz w:val="21"/>
                <w:szCs w:val="21"/>
                <w:lang w:val="en-US" w:bidi="ar-SA"/>
              </w:rPr>
              <w:t>北方地区：节水型企业建成率≥50%，得6分；每低3%，扣1分，扣完为止</w:t>
            </w:r>
          </w:p>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南方地区：节水型企业建成率≥40%，得6分；每低3%，扣1分，扣完为止</w:t>
            </w:r>
          </w:p>
        </w:tc>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18</w:t>
            </w:r>
          </w:p>
        </w:tc>
      </w:tr>
      <w:tr>
        <w:tblPrEx>
          <w:tblLayout w:type="fixed"/>
          <w:tblCellMar>
            <w:top w:w="0" w:type="dxa"/>
            <w:left w:w="108" w:type="dxa"/>
            <w:bottom w:w="0" w:type="dxa"/>
            <w:right w:w="108" w:type="dxa"/>
          </w:tblCellMar>
        </w:tblPrEx>
        <w:trPr>
          <w:trHeight w:val="124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公共机构节水型单位建成率：公共机构节水型单位数量与公共机构</w:t>
            </w:r>
            <w:r>
              <w:rPr>
                <w:rFonts w:hint="eastAsia" w:ascii="微软雅黑" w:hAnsi="微软雅黑" w:eastAsia="微软雅黑"/>
                <w:color w:val="000000"/>
                <w:sz w:val="21"/>
                <w:szCs w:val="21"/>
                <w:vertAlign w:val="superscript"/>
                <w:lang w:val="en-US" w:bidi="ar-SA"/>
              </w:rPr>
              <w:t>[7]</w:t>
            </w:r>
            <w:r>
              <w:rPr>
                <w:rFonts w:hint="eastAsia" w:ascii="微软雅黑" w:hAnsi="微软雅黑" w:eastAsia="微软雅黑"/>
                <w:color w:val="000000"/>
                <w:sz w:val="21"/>
                <w:szCs w:val="21"/>
                <w:lang w:val="en-US" w:bidi="ar-SA"/>
              </w:rPr>
              <w:t>总数的比值</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公共机构节水型单位建成率≥50%，得6分；每低3%，扣1分，扣完为止</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141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节水型居民小区建成率：节水型居民小区数量与居民小区</w:t>
            </w:r>
            <w:r>
              <w:rPr>
                <w:rFonts w:hint="eastAsia" w:ascii="微软雅黑" w:hAnsi="微软雅黑" w:eastAsia="微软雅黑"/>
                <w:color w:val="000000"/>
                <w:sz w:val="21"/>
                <w:szCs w:val="21"/>
                <w:vertAlign w:val="superscript"/>
                <w:lang w:val="en-US" w:bidi="ar-SA"/>
              </w:rPr>
              <w:t>[8]</w:t>
            </w:r>
            <w:r>
              <w:rPr>
                <w:rFonts w:hint="eastAsia" w:ascii="微软雅黑" w:hAnsi="微软雅黑" w:eastAsia="微软雅黑"/>
                <w:color w:val="000000"/>
                <w:sz w:val="21"/>
                <w:szCs w:val="21"/>
                <w:lang w:val="en-US" w:bidi="ar-SA"/>
              </w:rPr>
              <w:t>总数的比值</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eastAsia="zh-CN" w:bidi="ar-SA"/>
              </w:rPr>
            </w:pPr>
            <w:r>
              <w:rPr>
                <w:rFonts w:hint="eastAsia" w:ascii="微软雅黑" w:hAnsi="微软雅黑" w:eastAsia="微软雅黑"/>
                <w:color w:val="000000"/>
                <w:sz w:val="21"/>
                <w:szCs w:val="21"/>
                <w:lang w:val="en-US" w:bidi="ar-SA"/>
              </w:rPr>
              <w:t>北方地区：节水型居民小区建成率≥20%，得6分；每低1%，扣2分，扣完为止</w:t>
            </w:r>
          </w:p>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南方地区：节水型居民小区建成率≥15%，得6分；每低1%，扣2分，扣完为止</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1500"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7</w:t>
            </w:r>
          </w:p>
        </w:tc>
        <w:tc>
          <w:tcPr>
            <w:tcW w:w="798"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供水管网漏损控制</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公共供水管网漏损率：城镇公共供水总量和有效供水量之差与供水总量的比值</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公共供水管网漏损率≤10%（各地区可根据《城市供水管网漏损控制及评定标准》（CJJ92-2016）对10%的评价值进行修订，按照修订值进行评分），得8分；每高1%，扣1分，扣完为止</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8</w:t>
            </w:r>
          </w:p>
        </w:tc>
      </w:tr>
      <w:tr>
        <w:tblPrEx>
          <w:tblLayout w:type="fixed"/>
          <w:tblCellMar>
            <w:top w:w="0" w:type="dxa"/>
            <w:left w:w="108" w:type="dxa"/>
            <w:bottom w:w="0" w:type="dxa"/>
            <w:right w:w="108" w:type="dxa"/>
          </w:tblCellMar>
        </w:tblPrEx>
        <w:trPr>
          <w:trHeight w:val="1200"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8</w:t>
            </w:r>
          </w:p>
        </w:tc>
        <w:tc>
          <w:tcPr>
            <w:tcW w:w="798"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生活节水器具推广</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全面推动公共场所</w:t>
            </w:r>
            <w:r>
              <w:rPr>
                <w:rFonts w:hint="eastAsia" w:ascii="微软雅黑" w:hAnsi="微软雅黑" w:eastAsia="微软雅黑"/>
                <w:color w:val="000000"/>
                <w:sz w:val="21"/>
                <w:szCs w:val="21"/>
                <w:vertAlign w:val="superscript"/>
                <w:lang w:val="en-US" w:bidi="ar-SA"/>
              </w:rPr>
              <w:t>[9]</w:t>
            </w:r>
            <w:r>
              <w:rPr>
                <w:rFonts w:hint="eastAsia" w:ascii="微软雅黑" w:hAnsi="微软雅黑" w:eastAsia="微软雅黑"/>
                <w:color w:val="000000"/>
                <w:sz w:val="21"/>
                <w:szCs w:val="21"/>
                <w:lang w:val="en-US" w:bidi="ar-SA"/>
              </w:rPr>
              <w:t>、居民家庭使用生活节水器具</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公共场所和新建小区居民家庭全部采用节水器具，得8分；发现1例未使用，扣1分，扣完为止。（初评抽查的公共场所和居民家庭不少于10个）</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8</w:t>
            </w:r>
          </w:p>
        </w:tc>
      </w:tr>
      <w:tr>
        <w:tblPrEx>
          <w:tblLayout w:type="fixed"/>
          <w:tblCellMar>
            <w:top w:w="0" w:type="dxa"/>
            <w:left w:w="108" w:type="dxa"/>
            <w:bottom w:w="0" w:type="dxa"/>
            <w:right w:w="108" w:type="dxa"/>
          </w:tblCellMar>
        </w:tblPrEx>
        <w:trPr>
          <w:trHeight w:val="1500" w:hRule="atLeast"/>
          <w:jc w:val="center"/>
        </w:trPr>
        <w:tc>
          <w:tcPr>
            <w:tcW w:w="495" w:type="dxa"/>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9</w:t>
            </w:r>
          </w:p>
        </w:tc>
        <w:tc>
          <w:tcPr>
            <w:tcW w:w="798"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再生水</w:t>
            </w:r>
            <w:r>
              <w:rPr>
                <w:rFonts w:hint="eastAsia" w:ascii="微软雅黑" w:hAnsi="微软雅黑" w:eastAsia="微软雅黑"/>
                <w:color w:val="000000"/>
                <w:sz w:val="21"/>
                <w:szCs w:val="21"/>
                <w:vertAlign w:val="superscript"/>
                <w:lang w:val="en-US" w:bidi="ar-SA"/>
              </w:rPr>
              <w:t>[10]</w:t>
            </w:r>
            <w:r>
              <w:rPr>
                <w:rFonts w:hint="eastAsia" w:ascii="微软雅黑" w:hAnsi="微软雅黑" w:eastAsia="微软雅黑"/>
                <w:color w:val="000000"/>
                <w:sz w:val="21"/>
                <w:szCs w:val="21"/>
                <w:lang w:val="en-US" w:bidi="ar-SA"/>
              </w:rPr>
              <w:t>利用</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再生水利用率：经过处理并再次利用的污水量与污水总量的比值（指市政处理部分，不含企业内部循环利用部分）</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eastAsia="zh-CN" w:bidi="ar-SA"/>
              </w:rPr>
            </w:pPr>
            <w:r>
              <w:rPr>
                <w:rFonts w:hint="eastAsia" w:ascii="微软雅黑" w:hAnsi="微软雅黑" w:eastAsia="微软雅黑"/>
                <w:color w:val="000000"/>
                <w:sz w:val="21"/>
                <w:szCs w:val="21"/>
                <w:lang w:val="en-US" w:bidi="ar-SA"/>
              </w:rPr>
              <w:t>北方地区：再生水利用率≥20%，得8分；每低1%，扣1分，扣完为止</w:t>
            </w:r>
          </w:p>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南方地区：再生水利用率≥15%，得8分；每低1%，扣1分，扣完为止</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8</w:t>
            </w:r>
          </w:p>
        </w:tc>
      </w:tr>
      <w:tr>
        <w:tblPrEx>
          <w:tblLayout w:type="fixed"/>
          <w:tblCellMar>
            <w:top w:w="0" w:type="dxa"/>
            <w:left w:w="108" w:type="dxa"/>
            <w:bottom w:w="0" w:type="dxa"/>
            <w:right w:w="108" w:type="dxa"/>
          </w:tblCellMar>
        </w:tblPrEx>
        <w:trPr>
          <w:trHeight w:val="900" w:hRule="atLeast"/>
          <w:jc w:val="center"/>
        </w:trPr>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10</w:t>
            </w:r>
          </w:p>
        </w:tc>
        <w:tc>
          <w:tcPr>
            <w:tcW w:w="798" w:type="dxa"/>
            <w:vMerge w:val="restart"/>
            <w:tcBorders>
              <w:top w:val="nil"/>
              <w:left w:val="single" w:color="auto" w:sz="4" w:space="0"/>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社会节水意识</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开展节水宣传教育活动</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经常性开展节水公益宣传活动，普及水情知识和节水知识，得4分；未开展，得0分</w:t>
            </w:r>
          </w:p>
        </w:tc>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8</w:t>
            </w:r>
          </w:p>
        </w:tc>
      </w:tr>
      <w:tr>
        <w:tblPrEx>
          <w:tblLayout w:type="fixed"/>
          <w:tblCellMar>
            <w:top w:w="0" w:type="dxa"/>
            <w:left w:w="108" w:type="dxa"/>
            <w:bottom w:w="0" w:type="dxa"/>
            <w:right w:w="108" w:type="dxa"/>
          </w:tblCellMar>
        </w:tblPrEx>
        <w:trPr>
          <w:trHeight w:val="94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公众具有明显的节水意识</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通过电话、网络等方式进行公众节水意识调查</w:t>
            </w:r>
            <w:r>
              <w:rPr>
                <w:rFonts w:hint="eastAsia" w:ascii="微软雅黑" w:hAnsi="微软雅黑" w:eastAsia="微软雅黑"/>
                <w:color w:val="000000"/>
                <w:sz w:val="21"/>
                <w:szCs w:val="21"/>
                <w:vertAlign w:val="superscript"/>
                <w:lang w:val="en-US" w:bidi="ar-SA"/>
              </w:rPr>
              <w:t>[11]</w:t>
            </w:r>
            <w:r>
              <w:rPr>
                <w:rFonts w:hint="eastAsia" w:ascii="微软雅黑" w:hAnsi="微软雅黑" w:eastAsia="微软雅黑"/>
                <w:color w:val="000000"/>
                <w:sz w:val="21"/>
                <w:szCs w:val="21"/>
                <w:lang w:val="en-US" w:bidi="ar-SA"/>
              </w:rPr>
              <w:t>，70%以上的调查对象具有明显的节水意识，得4分；每低5%，扣1分，扣完为止</w:t>
            </w:r>
          </w:p>
        </w:tc>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r>
      <w:tr>
        <w:tblPrEx>
          <w:tblLayout w:type="fixed"/>
          <w:tblCellMar>
            <w:top w:w="0" w:type="dxa"/>
            <w:left w:w="108" w:type="dxa"/>
            <w:bottom w:w="0" w:type="dxa"/>
            <w:right w:w="108" w:type="dxa"/>
          </w:tblCellMar>
        </w:tblPrEx>
        <w:trPr>
          <w:trHeight w:val="1200" w:hRule="atLeast"/>
          <w:jc w:val="center"/>
        </w:trPr>
        <w:tc>
          <w:tcPr>
            <w:tcW w:w="495" w:type="dxa"/>
            <w:vMerge w:val="restart"/>
            <w:tcBorders>
              <w:top w:val="nil"/>
              <w:left w:val="single" w:color="auto" w:sz="4" w:space="0"/>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11</w:t>
            </w:r>
          </w:p>
        </w:tc>
        <w:tc>
          <w:tcPr>
            <w:tcW w:w="798" w:type="dxa"/>
            <w:vMerge w:val="restart"/>
            <w:tcBorders>
              <w:top w:val="nil"/>
              <w:left w:val="single" w:color="auto" w:sz="4" w:space="0"/>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加分项</w:t>
            </w: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节水标杆示范</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区域内有企业、公共机构、产品、灌区被评为国家级或省级水效领跑者或节水标杆单位（企业），加3分</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3</w:t>
            </w:r>
          </w:p>
        </w:tc>
      </w:tr>
      <w:tr>
        <w:tblPrEx>
          <w:tblLayout w:type="fixed"/>
          <w:tblCellMar>
            <w:top w:w="0" w:type="dxa"/>
            <w:left w:w="108" w:type="dxa"/>
            <w:bottom w:w="0" w:type="dxa"/>
            <w:right w:w="108" w:type="dxa"/>
          </w:tblCellMar>
        </w:tblPrEx>
        <w:trPr>
          <w:trHeight w:val="120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实行节水激励政策</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本级财政对节水项目建设、节水技术推广等实行补贴或其他优惠等激励政策，加4分</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4</w:t>
            </w:r>
          </w:p>
        </w:tc>
      </w:tr>
      <w:tr>
        <w:tblPrEx>
          <w:tblLayout w:type="fixed"/>
          <w:tblCellMar>
            <w:top w:w="0" w:type="dxa"/>
            <w:left w:w="108" w:type="dxa"/>
            <w:bottom w:w="0" w:type="dxa"/>
            <w:right w:w="108" w:type="dxa"/>
          </w:tblCellMar>
        </w:tblPrEx>
        <w:trPr>
          <w:trHeight w:val="900" w:hRule="atLeast"/>
          <w:jc w:val="center"/>
        </w:trPr>
        <w:tc>
          <w:tcPr>
            <w:tcW w:w="495"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798" w:type="dxa"/>
            <w:vMerge w:val="continue"/>
            <w:tcBorders>
              <w:top w:val="nil"/>
              <w:left w:val="single" w:color="auto" w:sz="4" w:space="0"/>
              <w:bottom w:val="single" w:color="auto" w:sz="4" w:space="0"/>
              <w:right w:val="single" w:color="auto" w:sz="4" w:space="0"/>
            </w:tcBorders>
            <w:noWrap w:val="0"/>
            <w:vAlign w:val="center"/>
          </w:tcPr>
          <w:p>
            <w:pPr>
              <w:widowControl/>
              <w:autoSpaceDE/>
              <w:autoSpaceDN/>
              <w:rPr>
                <w:rFonts w:ascii="微软雅黑" w:hAnsi="微软雅黑" w:eastAsia="微软雅黑"/>
                <w:color w:val="000000"/>
                <w:sz w:val="21"/>
                <w:szCs w:val="21"/>
                <w:lang w:val="en-US" w:bidi="ar-SA"/>
              </w:rPr>
            </w:pPr>
          </w:p>
        </w:tc>
        <w:tc>
          <w:tcPr>
            <w:tcW w:w="285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推广喷灌、微灌、管道输水等高效节水灌溉技术</w:t>
            </w:r>
          </w:p>
        </w:tc>
        <w:tc>
          <w:tcPr>
            <w:tcW w:w="4143" w:type="dxa"/>
            <w:tcBorders>
              <w:top w:val="nil"/>
              <w:left w:val="nil"/>
              <w:bottom w:val="single" w:color="auto" w:sz="4" w:space="0"/>
              <w:right w:val="single" w:color="auto" w:sz="4" w:space="0"/>
            </w:tcBorders>
            <w:noWrap w:val="0"/>
            <w:vAlign w:val="center"/>
          </w:tcPr>
          <w:p>
            <w:pPr>
              <w:widowControl/>
              <w:autoSpaceDE/>
              <w:autoSpaceDN/>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北方地区高效节水灌溉率</w:t>
            </w:r>
            <w:r>
              <w:rPr>
                <w:rFonts w:hint="eastAsia" w:ascii="微软雅黑" w:hAnsi="微软雅黑" w:eastAsia="微软雅黑"/>
                <w:color w:val="000000"/>
                <w:sz w:val="21"/>
                <w:szCs w:val="21"/>
                <w:vertAlign w:val="superscript"/>
                <w:lang w:val="en-US" w:bidi="ar-SA"/>
              </w:rPr>
              <w:t>[12]</w:t>
            </w:r>
            <w:r>
              <w:rPr>
                <w:rFonts w:hint="eastAsia" w:ascii="微软雅黑" w:hAnsi="微软雅黑" w:eastAsia="微软雅黑"/>
                <w:color w:val="000000"/>
                <w:sz w:val="21"/>
                <w:szCs w:val="21"/>
                <w:lang w:val="en-US" w:bidi="ar-SA"/>
              </w:rPr>
              <w:t>≥40%，南方地区高效节水灌溉率≥30%，加3分</w:t>
            </w:r>
          </w:p>
        </w:tc>
        <w:tc>
          <w:tcPr>
            <w:tcW w:w="495" w:type="dxa"/>
            <w:tcBorders>
              <w:top w:val="nil"/>
              <w:left w:val="nil"/>
              <w:bottom w:val="single" w:color="auto" w:sz="4" w:space="0"/>
              <w:right w:val="single" w:color="auto" w:sz="4" w:space="0"/>
            </w:tcBorders>
            <w:noWrap w:val="0"/>
            <w:vAlign w:val="center"/>
          </w:tcPr>
          <w:p>
            <w:pPr>
              <w:widowControl/>
              <w:autoSpaceDE/>
              <w:autoSpaceDN/>
              <w:jc w:val="center"/>
              <w:rPr>
                <w:rFonts w:hint="eastAsia" w:ascii="微软雅黑" w:hAnsi="微软雅黑" w:eastAsia="微软雅黑"/>
                <w:color w:val="000000"/>
                <w:sz w:val="21"/>
                <w:szCs w:val="21"/>
                <w:lang w:val="en-US" w:bidi="ar-SA"/>
              </w:rPr>
            </w:pPr>
            <w:r>
              <w:rPr>
                <w:rFonts w:hint="eastAsia" w:ascii="微软雅黑" w:hAnsi="微软雅黑" w:eastAsia="微软雅黑"/>
                <w:color w:val="000000"/>
                <w:sz w:val="21"/>
                <w:szCs w:val="21"/>
                <w:lang w:val="en-US" w:bidi="ar-SA"/>
              </w:rPr>
              <w:t>3</w:t>
            </w:r>
          </w:p>
        </w:tc>
      </w:tr>
    </w:tbl>
    <w:p>
      <w:pPr>
        <w:adjustRightInd w:val="0"/>
        <w:snapToGrid w:val="0"/>
        <w:spacing w:line="360" w:lineRule="auto"/>
        <w:rPr>
          <w:rFonts w:hint="eastAsia"/>
        </w:rPr>
      </w:pPr>
    </w:p>
    <w:p>
      <w:pPr>
        <w:adjustRightInd w:val="0"/>
        <w:snapToGrid w:val="0"/>
        <w:spacing w:line="360" w:lineRule="auto"/>
        <w:ind w:firstLine="640" w:firstLineChars="200"/>
        <w:rPr>
          <w:rFonts w:ascii="仿宋"/>
          <w:sz w:val="32"/>
          <w:szCs w:val="32"/>
        </w:rPr>
        <w:sectPr>
          <w:type w:val="nextColumn"/>
          <w:pgSz w:w="11849" w:h="16781"/>
          <w:pgMar w:top="1797" w:right="1440" w:bottom="1797" w:left="1440" w:header="720" w:footer="720" w:gutter="0"/>
          <w:pgNumType w:fmt="numberInDash"/>
          <w:cols w:space="720" w:num="1"/>
          <w:docGrid w:linePitch="299" w:charSpace="0"/>
        </w:sectPr>
      </w:pPr>
    </w:p>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说明</w:t>
      </w:r>
    </w:p>
    <w:p>
      <w:pPr>
        <w:pStyle w:val="16"/>
        <w:tabs>
          <w:tab w:val="left" w:pos="2231"/>
        </w:tabs>
        <w:adjustRightInd w:val="0"/>
        <w:snapToGrid w:val="0"/>
        <w:spacing w:line="360" w:lineRule="auto"/>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1</w:t>
      </w:r>
      <w:r>
        <w:rPr>
          <w:rFonts w:hint="eastAsia" w:ascii="仿宋_GB2312" w:hAnsi="仿宋_GB2312" w:eastAsia="仿宋_GB2312" w:cs="仿宋_GB2312"/>
          <w:sz w:val="28"/>
          <w:szCs w:val="28"/>
        </w:rPr>
        <w:t>]</w:t>
      </w:r>
      <w:r>
        <w:rPr>
          <w:rFonts w:hint="eastAsia" w:ascii="仿宋_GB2312" w:hAnsi="仿宋_GB2312" w:eastAsia="仿宋_GB2312" w:cs="仿宋_GB2312"/>
          <w:spacing w:val="-1"/>
          <w:sz w:val="28"/>
          <w:szCs w:val="28"/>
        </w:rPr>
        <w:t>城镇非居民用水单位是指纳入取水许可管理和从公共供</w:t>
      </w:r>
      <w:r>
        <w:rPr>
          <w:rFonts w:hint="eastAsia" w:ascii="仿宋_GB2312" w:hAnsi="仿宋_GB2312" w:eastAsia="仿宋_GB2312" w:cs="仿宋_GB2312"/>
          <w:sz w:val="28"/>
          <w:szCs w:val="28"/>
        </w:rPr>
        <w:t>水管网取水的工业、服务业用水单位。</w:t>
      </w:r>
    </w:p>
    <w:p>
      <w:pPr>
        <w:pStyle w:val="16"/>
        <w:tabs>
          <w:tab w:val="left" w:pos="2231"/>
        </w:tabs>
        <w:adjustRightInd w:val="0"/>
        <w:snapToGrid w:val="0"/>
        <w:spacing w:line="360" w:lineRule="auto"/>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2</w:t>
      </w:r>
      <w:r>
        <w:rPr>
          <w:rFonts w:hint="eastAsia" w:ascii="仿宋_GB2312" w:hAnsi="仿宋_GB2312" w:eastAsia="仿宋_GB2312" w:cs="仿宋_GB2312"/>
          <w:sz w:val="28"/>
          <w:szCs w:val="28"/>
        </w:rPr>
        <w:t>]</w:t>
      </w:r>
      <w:r>
        <w:rPr>
          <w:rFonts w:hint="eastAsia" w:ascii="仿宋_GB2312" w:hAnsi="仿宋_GB2312" w:eastAsia="仿宋_GB2312" w:cs="仿宋_GB2312"/>
          <w:spacing w:val="-1"/>
          <w:sz w:val="28"/>
          <w:szCs w:val="28"/>
        </w:rPr>
        <w:t>农业灌溉用水计量率是指有计量设施的农业取水口灌溉</w:t>
      </w:r>
      <w:r>
        <w:rPr>
          <w:rFonts w:hint="eastAsia" w:ascii="仿宋_GB2312" w:hAnsi="仿宋_GB2312" w:eastAsia="仿宋_GB2312" w:cs="仿宋_GB2312"/>
          <w:sz w:val="28"/>
          <w:szCs w:val="28"/>
        </w:rPr>
        <w:t>取水量占灌溉总取水量的比例。</w:t>
      </w:r>
    </w:p>
    <w:p>
      <w:pPr>
        <w:pStyle w:val="16"/>
        <w:tabs>
          <w:tab w:val="left" w:pos="2231"/>
        </w:tabs>
        <w:adjustRightInd w:val="0"/>
        <w:snapToGrid w:val="0"/>
        <w:spacing w:line="360" w:lineRule="auto"/>
        <w:ind w:left="0" w:firstLine="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3</w:t>
      </w:r>
      <w:r>
        <w:rPr>
          <w:rFonts w:hint="eastAsia" w:ascii="仿宋_GB2312" w:hAnsi="仿宋_GB2312" w:eastAsia="仿宋_GB2312" w:cs="仿宋_GB2312"/>
          <w:sz w:val="28"/>
          <w:szCs w:val="28"/>
        </w:rPr>
        <w:t>]</w:t>
      </w:r>
      <w:r>
        <w:rPr>
          <w:rFonts w:hint="eastAsia" w:ascii="仿宋_GB2312" w:hAnsi="仿宋_GB2312" w:eastAsia="仿宋_GB2312" w:cs="仿宋_GB2312"/>
          <w:spacing w:val="-9"/>
          <w:sz w:val="28"/>
          <w:szCs w:val="28"/>
        </w:rPr>
        <w:t>北方地区包括北京、天津、河北、山西、内蒙古、辽宁、</w:t>
      </w:r>
      <w:r>
        <w:rPr>
          <w:rFonts w:hint="eastAsia" w:ascii="仿宋_GB2312" w:hAnsi="仿宋_GB2312" w:eastAsia="仿宋_GB2312" w:cs="仿宋_GB2312"/>
          <w:spacing w:val="-3"/>
          <w:sz w:val="28"/>
          <w:szCs w:val="28"/>
        </w:rPr>
        <w:t>吉林、黑龙江、山东、河南、陕西、甘肃、宁夏、新疆等</w:t>
      </w:r>
      <w:r>
        <w:rPr>
          <w:rFonts w:hint="eastAsia" w:ascii="仿宋_GB2312" w:hAnsi="仿宋_GB2312" w:eastAsia="仿宋_GB2312" w:cs="仿宋_GB2312"/>
          <w:sz w:val="28"/>
          <w:szCs w:val="28"/>
        </w:rPr>
        <w:t>14</w:t>
      </w:r>
      <w:r>
        <w:rPr>
          <w:rFonts w:hint="eastAsia" w:ascii="仿宋_GB2312" w:hAnsi="仿宋_GB2312" w:eastAsia="仿宋_GB2312" w:cs="仿宋_GB2312"/>
          <w:spacing w:val="-39"/>
          <w:sz w:val="28"/>
          <w:szCs w:val="28"/>
        </w:rPr>
        <w:t>个</w:t>
      </w:r>
      <w:r>
        <w:rPr>
          <w:rFonts w:hint="eastAsia" w:ascii="仿宋_GB2312" w:hAnsi="仿宋_GB2312" w:eastAsia="仿宋_GB2312" w:cs="仿宋_GB2312"/>
          <w:spacing w:val="-34"/>
          <w:sz w:val="28"/>
          <w:szCs w:val="28"/>
        </w:rPr>
        <w:t>省</w:t>
      </w:r>
      <w:r>
        <w:rPr>
          <w:rFonts w:hint="eastAsia" w:ascii="仿宋_GB2312" w:hAnsi="仿宋_GB2312" w:eastAsia="仿宋_GB2312" w:cs="仿宋_GB2312"/>
          <w:spacing w:val="-3"/>
          <w:sz w:val="28"/>
          <w:szCs w:val="28"/>
        </w:rPr>
        <w:t>（</w:t>
      </w:r>
      <w:r>
        <w:rPr>
          <w:rFonts w:hint="eastAsia" w:ascii="仿宋_GB2312" w:hAnsi="仿宋_GB2312" w:eastAsia="仿宋_GB2312" w:cs="仿宋_GB2312"/>
          <w:spacing w:val="-6"/>
          <w:sz w:val="28"/>
          <w:szCs w:val="28"/>
        </w:rPr>
        <w:t>自治区、直辖市</w:t>
      </w:r>
      <w:r>
        <w:rPr>
          <w:rFonts w:hint="eastAsia" w:ascii="仿宋_GB2312" w:hAnsi="仿宋_GB2312" w:eastAsia="仿宋_GB2312" w:cs="仿宋_GB2312"/>
          <w:spacing w:val="-36"/>
          <w:sz w:val="28"/>
          <w:szCs w:val="28"/>
        </w:rPr>
        <w:t>）</w:t>
      </w:r>
      <w:r>
        <w:rPr>
          <w:rFonts w:hint="eastAsia" w:ascii="仿宋_GB2312" w:hAnsi="仿宋_GB2312" w:eastAsia="仿宋_GB2312" w:cs="仿宋_GB2312"/>
          <w:spacing w:val="-18"/>
          <w:sz w:val="28"/>
          <w:szCs w:val="28"/>
        </w:rPr>
        <w:t>。其它省</w:t>
      </w:r>
      <w:r>
        <w:rPr>
          <w:rFonts w:hint="eastAsia" w:ascii="仿宋_GB2312" w:hAnsi="仿宋_GB2312" w:eastAsia="仿宋_GB2312" w:cs="仿宋_GB2312"/>
          <w:sz w:val="28"/>
          <w:szCs w:val="28"/>
        </w:rPr>
        <w:t>（</w:t>
      </w:r>
      <w:r>
        <w:rPr>
          <w:rFonts w:hint="eastAsia" w:ascii="仿宋_GB2312" w:hAnsi="仿宋_GB2312" w:eastAsia="仿宋_GB2312" w:cs="仿宋_GB2312"/>
          <w:spacing w:val="-6"/>
          <w:sz w:val="28"/>
          <w:szCs w:val="28"/>
        </w:rPr>
        <w:t>自治区、直辖市</w:t>
      </w:r>
      <w:r>
        <w:rPr>
          <w:rFonts w:hint="eastAsia" w:ascii="仿宋_GB2312" w:hAnsi="仿宋_GB2312" w:eastAsia="仿宋_GB2312" w:cs="仿宋_GB2312"/>
          <w:spacing w:val="-34"/>
          <w:sz w:val="28"/>
          <w:szCs w:val="28"/>
        </w:rPr>
        <w:t>）</w:t>
      </w:r>
      <w:r>
        <w:rPr>
          <w:rFonts w:hint="eastAsia" w:ascii="仿宋_GB2312" w:hAnsi="仿宋_GB2312" w:eastAsia="仿宋_GB2312" w:cs="仿宋_GB2312"/>
          <w:spacing w:val="-3"/>
          <w:sz w:val="28"/>
          <w:szCs w:val="28"/>
        </w:rPr>
        <w:t>为南方地区，</w:t>
      </w:r>
      <w:r>
        <w:rPr>
          <w:rFonts w:hint="eastAsia" w:ascii="仿宋_GB2312" w:hAnsi="仿宋_GB2312" w:eastAsia="仿宋_GB2312" w:cs="仿宋_GB2312"/>
          <w:sz w:val="28"/>
          <w:szCs w:val="28"/>
        </w:rPr>
        <w:t>包括江河源头区的青海、西藏。</w:t>
      </w:r>
    </w:p>
    <w:p>
      <w:pPr>
        <w:pStyle w:val="16"/>
        <w:tabs>
          <w:tab w:val="left" w:pos="2231"/>
        </w:tabs>
        <w:adjustRightInd w:val="0"/>
        <w:snapToGrid w:val="0"/>
        <w:spacing w:line="360" w:lineRule="auto"/>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rPr>
        <w:t>]</w:t>
      </w:r>
      <w:r>
        <w:rPr>
          <w:rFonts w:hint="eastAsia" w:ascii="仿宋_GB2312" w:hAnsi="仿宋_GB2312" w:eastAsia="仿宋_GB2312" w:cs="仿宋_GB2312"/>
          <w:spacing w:val="-4"/>
          <w:sz w:val="28"/>
          <w:szCs w:val="28"/>
        </w:rPr>
        <w:t>规模以上工业企业是指年主营业务收入在</w:t>
      </w:r>
      <w:r>
        <w:rPr>
          <w:rFonts w:hint="eastAsia" w:ascii="仿宋_GB2312" w:hAnsi="仿宋_GB2312" w:eastAsia="仿宋_GB2312" w:cs="仿宋_GB2312"/>
          <w:sz w:val="28"/>
          <w:szCs w:val="28"/>
        </w:rPr>
        <w:t>2000</w:t>
      </w:r>
      <w:r>
        <w:rPr>
          <w:rFonts w:hint="eastAsia" w:ascii="仿宋_GB2312" w:hAnsi="仿宋_GB2312" w:eastAsia="仿宋_GB2312" w:cs="仿宋_GB2312"/>
          <w:spacing w:val="-24"/>
          <w:sz w:val="28"/>
          <w:szCs w:val="28"/>
        </w:rPr>
        <w:t>万元以</w:t>
      </w:r>
      <w:r>
        <w:rPr>
          <w:rFonts w:hint="eastAsia" w:ascii="仿宋_GB2312" w:hAnsi="仿宋_GB2312" w:eastAsia="仿宋_GB2312" w:cs="仿宋_GB2312"/>
          <w:sz w:val="28"/>
          <w:szCs w:val="28"/>
        </w:rPr>
        <w:t>上的工业企业。</w:t>
      </w:r>
    </w:p>
    <w:p>
      <w:pPr>
        <w:pStyle w:val="16"/>
        <w:tabs>
          <w:tab w:val="left" w:pos="2231"/>
        </w:tabs>
        <w:adjustRightInd w:val="0"/>
        <w:snapToGrid w:val="0"/>
        <w:spacing w:line="360" w:lineRule="auto"/>
        <w:ind w:left="0" w:firstLine="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5</w:t>
      </w:r>
      <w:r>
        <w:rPr>
          <w:rFonts w:hint="eastAsia" w:ascii="仿宋_GB2312" w:hAnsi="仿宋_GB2312" w:eastAsia="仿宋_GB2312" w:cs="仿宋_GB2312"/>
          <w:sz w:val="28"/>
          <w:szCs w:val="28"/>
        </w:rPr>
        <w:t>]农业水价综合改革实际实施面积是指县级行政区（含直辖市所辖区、县）自部署实施农业水价综合改革以来已实施的总面积，计划实施面积是指计划实施的总面积。</w:t>
      </w:r>
    </w:p>
    <w:p>
      <w:pPr>
        <w:pStyle w:val="16"/>
        <w:tabs>
          <w:tab w:val="left" w:pos="2231"/>
        </w:tabs>
        <w:adjustRightInd w:val="0"/>
        <w:snapToGrid w:val="0"/>
        <w:spacing w:line="360" w:lineRule="auto"/>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6</w:t>
      </w:r>
      <w:r>
        <w:rPr>
          <w:rFonts w:hint="eastAsia" w:ascii="仿宋_GB2312" w:hAnsi="仿宋_GB2312" w:eastAsia="仿宋_GB2312" w:cs="仿宋_GB2312"/>
          <w:sz w:val="28"/>
          <w:szCs w:val="28"/>
        </w:rPr>
        <w:t>]重点用水行业包括火电、钢铁、纺织染整、造纸、石油炼制、化工、食品等行业。</w:t>
      </w:r>
    </w:p>
    <w:p>
      <w:pPr>
        <w:pStyle w:val="16"/>
        <w:tabs>
          <w:tab w:val="left" w:pos="2231"/>
        </w:tabs>
        <w:adjustRightInd w:val="0"/>
        <w:snapToGrid w:val="0"/>
        <w:spacing w:line="360" w:lineRule="auto"/>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7</w:t>
      </w:r>
      <w:r>
        <w:rPr>
          <w:rFonts w:hint="eastAsia" w:ascii="仿宋_GB2312" w:hAnsi="仿宋_GB2312" w:eastAsia="仿宋_GB2312" w:cs="仿宋_GB2312"/>
          <w:sz w:val="28"/>
          <w:szCs w:val="28"/>
        </w:rPr>
        <w:t>]公共机构是指县(</w:t>
      </w:r>
      <w:r>
        <w:rPr>
          <w:rFonts w:hint="eastAsia" w:ascii="仿宋_GB2312" w:hAnsi="仿宋_GB2312" w:eastAsia="仿宋_GB2312" w:cs="仿宋_GB2312"/>
          <w:sz w:val="28"/>
          <w:szCs w:val="28"/>
          <w:lang w:val="en-US"/>
        </w:rPr>
        <w:t>市</w:t>
      </w:r>
      <w:r>
        <w:rPr>
          <w:rFonts w:hint="eastAsia" w:ascii="仿宋_GB2312" w:hAnsi="仿宋_GB2312" w:eastAsia="仿宋_GB2312" w:cs="仿宋_GB2312"/>
          <w:sz w:val="28"/>
          <w:szCs w:val="28"/>
        </w:rPr>
        <w:t>）级机关和县(</w:t>
      </w:r>
      <w:r>
        <w:rPr>
          <w:rFonts w:hint="eastAsia" w:ascii="仿宋_GB2312" w:hAnsi="仿宋_GB2312" w:eastAsia="仿宋_GB2312" w:cs="仿宋_GB2312"/>
          <w:sz w:val="28"/>
          <w:szCs w:val="28"/>
          <w:lang w:val="en-US"/>
        </w:rPr>
        <w:t>市</w:t>
      </w:r>
      <w:r>
        <w:rPr>
          <w:rFonts w:hint="eastAsia" w:ascii="仿宋_GB2312" w:hAnsi="仿宋_GB2312" w:eastAsia="仿宋_GB2312" w:cs="仿宋_GB2312"/>
          <w:sz w:val="28"/>
          <w:szCs w:val="28"/>
        </w:rPr>
        <w:t>）直事业单位。</w:t>
      </w:r>
    </w:p>
    <w:p>
      <w:pPr>
        <w:pStyle w:val="16"/>
        <w:tabs>
          <w:tab w:val="left" w:pos="2231"/>
        </w:tabs>
        <w:adjustRightInd w:val="0"/>
        <w:snapToGrid w:val="0"/>
        <w:spacing w:line="360" w:lineRule="auto"/>
        <w:ind w:left="0" w:firstLine="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[8]居民小区是指由物业公</w:t>
      </w:r>
      <w:r>
        <w:rPr>
          <w:rFonts w:hint="eastAsia" w:ascii="仿宋_GB2312" w:hAnsi="仿宋_GB2312" w:eastAsia="仿宋_GB2312" w:cs="仿宋_GB2312"/>
          <w:spacing w:val="-1"/>
          <w:sz w:val="28"/>
          <w:szCs w:val="28"/>
        </w:rPr>
        <w:t>司统一管理、实行集中供水的城</w:t>
      </w:r>
      <w:r>
        <w:rPr>
          <w:rFonts w:hint="eastAsia" w:ascii="仿宋_GB2312" w:hAnsi="仿宋_GB2312" w:eastAsia="仿宋_GB2312" w:cs="仿宋_GB2312"/>
          <w:sz w:val="28"/>
          <w:szCs w:val="28"/>
        </w:rPr>
        <w:t>镇居民小区。</w:t>
      </w:r>
    </w:p>
    <w:p>
      <w:pPr>
        <w:pStyle w:val="7"/>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9</w:t>
      </w:r>
      <w:r>
        <w:rPr>
          <w:rFonts w:hint="eastAsia" w:ascii="仿宋_GB2312" w:hAnsi="仿宋_GB2312" w:eastAsia="仿宋_GB2312" w:cs="仿宋_GB2312"/>
          <w:sz w:val="28"/>
          <w:szCs w:val="28"/>
        </w:rPr>
        <w:t>]公共场所是指公用建筑物、活动场所及其设施等。</w:t>
      </w:r>
    </w:p>
    <w:p>
      <w:pPr>
        <w:pStyle w:val="7"/>
        <w:adjustRightInd w:val="0"/>
        <w:snapToGrid w:val="0"/>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[10]再生水是指污水经过适当处理后，达到一定的水质指标，满足某种使用要求，可以再次利用的水。</w:t>
      </w:r>
    </w:p>
    <w:p>
      <w:pPr>
        <w:pStyle w:val="16"/>
        <w:tabs>
          <w:tab w:val="left" w:pos="2383"/>
        </w:tabs>
        <w:adjustRightInd w:val="0"/>
        <w:snapToGrid w:val="0"/>
        <w:spacing w:line="360" w:lineRule="auto"/>
        <w:ind w:left="0" w:firstLine="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11</w:t>
      </w:r>
      <w:r>
        <w:rPr>
          <w:rFonts w:hint="eastAsia" w:ascii="仿宋_GB2312" w:hAnsi="仿宋_GB2312" w:eastAsia="仿宋_GB2312" w:cs="仿宋_GB2312"/>
          <w:sz w:val="28"/>
          <w:szCs w:val="28"/>
        </w:rPr>
        <w:t>]</w:t>
      </w:r>
      <w:r>
        <w:rPr>
          <w:rFonts w:hint="eastAsia" w:ascii="仿宋_GB2312" w:hAnsi="仿宋_GB2312" w:eastAsia="仿宋_GB2312" w:cs="仿宋_GB2312"/>
          <w:spacing w:val="-9"/>
          <w:sz w:val="28"/>
          <w:szCs w:val="28"/>
        </w:rPr>
        <w:t>公众节水意识调查由县级行政区</w:t>
      </w:r>
      <w:r>
        <w:rPr>
          <w:rFonts w:hint="eastAsia" w:ascii="仿宋_GB2312" w:hAnsi="仿宋_GB2312" w:eastAsia="仿宋_GB2312" w:cs="仿宋_GB2312"/>
          <w:sz w:val="28"/>
          <w:szCs w:val="28"/>
        </w:rPr>
        <w:t>（</w:t>
      </w:r>
      <w:r>
        <w:rPr>
          <w:rFonts w:hint="eastAsia" w:ascii="仿宋_GB2312" w:hAnsi="仿宋_GB2312" w:eastAsia="仿宋_GB2312" w:cs="仿宋_GB2312"/>
          <w:spacing w:val="-15"/>
          <w:sz w:val="28"/>
          <w:szCs w:val="28"/>
        </w:rPr>
        <w:t>含直辖市所辖区、县</w:t>
      </w:r>
      <w:r>
        <w:rPr>
          <w:rFonts w:hint="eastAsia" w:ascii="仿宋_GB2312" w:hAnsi="仿宋_GB2312" w:eastAsia="仿宋_GB2312" w:cs="仿宋_GB2312"/>
          <w:spacing w:val="-14"/>
          <w:sz w:val="28"/>
          <w:szCs w:val="28"/>
        </w:rPr>
        <w:t>）</w:t>
      </w:r>
      <w:r>
        <w:rPr>
          <w:rFonts w:hint="eastAsia" w:ascii="仿宋_GB2312" w:hAnsi="仿宋_GB2312" w:eastAsia="仿宋_GB2312" w:cs="仿宋_GB2312"/>
          <w:sz w:val="28"/>
          <w:szCs w:val="28"/>
        </w:rPr>
        <w:t>自主开展，在评价时重点对调查工作进行核查。</w:t>
      </w:r>
    </w:p>
    <w:p>
      <w:pPr>
        <w:pStyle w:val="16"/>
        <w:tabs>
          <w:tab w:val="left" w:pos="2383"/>
        </w:tabs>
        <w:adjustRightInd w:val="0"/>
        <w:snapToGrid w:val="0"/>
        <w:spacing w:line="360" w:lineRule="auto"/>
        <w:ind w:left="0" w:firstLine="0"/>
        <w:rPr>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rPr>
        <w:t>12</w:t>
      </w:r>
      <w:r>
        <w:rPr>
          <w:rFonts w:hint="eastAsia" w:ascii="仿宋_GB2312" w:hAnsi="仿宋_GB2312" w:eastAsia="仿宋_GB2312" w:cs="仿宋_GB2312"/>
          <w:sz w:val="28"/>
          <w:szCs w:val="28"/>
        </w:rPr>
        <w:t>]</w:t>
      </w:r>
      <w:r>
        <w:rPr>
          <w:rFonts w:hint="eastAsia" w:ascii="仿宋_GB2312" w:hAnsi="仿宋_GB2312" w:eastAsia="仿宋_GB2312" w:cs="仿宋_GB2312"/>
          <w:spacing w:val="-1"/>
          <w:sz w:val="28"/>
          <w:szCs w:val="28"/>
        </w:rPr>
        <w:t>高效节水灌溉率是指高效节水灌溉面积占灌溉面积的</w:t>
      </w:r>
      <w:r>
        <w:rPr>
          <w:rFonts w:hint="eastAsia" w:ascii="仿宋_GB2312" w:hAnsi="仿宋_GB2312" w:eastAsia="仿宋_GB2312" w:cs="仿宋_GB2312"/>
          <w:sz w:val="28"/>
          <w:szCs w:val="28"/>
        </w:rPr>
        <w:t>比例。</w:t>
      </w:r>
    </w:p>
    <w:p>
      <w:pPr>
        <w:adjustRightInd w:val="0"/>
        <w:snapToGrid w:val="0"/>
        <w:spacing w:line="360" w:lineRule="auto"/>
        <w:ind w:firstLine="640" w:firstLineChars="200"/>
        <w:rPr>
          <w:sz w:val="32"/>
          <w:szCs w:val="32"/>
        </w:rPr>
        <w:sectPr>
          <w:type w:val="nextColumn"/>
          <w:pgSz w:w="11849" w:h="16781"/>
          <w:pgMar w:top="1440" w:right="1797" w:bottom="1440" w:left="1797" w:header="720" w:footer="720" w:gutter="0"/>
          <w:pgNumType w:fmt="numberInDash"/>
          <w:cols w:space="720" w:num="1"/>
        </w:sectPr>
      </w:pPr>
    </w:p>
    <w:p>
      <w:pPr>
        <w:pStyle w:val="13"/>
        <w:keepNext/>
        <w:widowControl/>
        <w:overflowPunct w:val="0"/>
        <w:topLinePunct/>
        <w:autoSpaceDE/>
        <w:autoSpaceDN/>
        <w:spacing w:line="592" w:lineRule="exact"/>
        <w:ind w:firstLine="0" w:firstLineChars="0"/>
        <w:rPr>
          <w:rFonts w:hint="eastAsia" w:ascii="仿宋_GB2312" w:hAnsi="宋体" w:cs="方正仿宋_GBK"/>
          <w:sz w:val="32"/>
          <w:szCs w:val="32"/>
        </w:rPr>
      </w:pPr>
      <w:r>
        <w:rPr>
          <w:rFonts w:hint="eastAsia" w:ascii="仿宋_GB2312" w:hAnsi="宋体" w:cs="方正仿宋_GBK"/>
          <w:sz w:val="32"/>
          <w:szCs w:val="32"/>
        </w:rPr>
        <w:t>附件 3</w:t>
      </w:r>
    </w:p>
    <w:p>
      <w:pPr>
        <w:adjustRightInd w:val="0"/>
        <w:snapToGrid w:val="0"/>
        <w:spacing w:line="360" w:lineRule="auto"/>
        <w:ind w:firstLine="440" w:firstLineChars="200"/>
        <w:rPr>
          <w:rFonts w:hint="eastAsia"/>
        </w:rPr>
      </w:pPr>
    </w:p>
    <w:p>
      <w:pPr>
        <w:pStyle w:val="7"/>
        <w:spacing w:line="420" w:lineRule="exact"/>
        <w:jc w:val="center"/>
        <w:outlineLvl w:val="2"/>
        <w:rPr>
          <w:rFonts w:hint="eastAsia" w:ascii="黑体" w:hAnsi="黑体" w:eastAsia="黑体" w:cs="黑体"/>
          <w:bCs/>
          <w:sz w:val="32"/>
          <w:szCs w:val="32"/>
        </w:rPr>
      </w:pPr>
      <w:r>
        <w:rPr>
          <w:rFonts w:hint="eastAsia" w:ascii="黑体" w:hAnsi="黑体" w:eastAsia="黑体" w:cs="黑体"/>
          <w:bCs/>
          <w:sz w:val="32"/>
          <w:szCs w:val="32"/>
        </w:rPr>
        <w:t>策勒县县域节水型社会达标建设工作任务分解表</w:t>
      </w:r>
    </w:p>
    <w:tbl>
      <w:tblPr>
        <w:tblStyle w:val="15"/>
        <w:tblW w:w="13606" w:type="dxa"/>
        <w:jc w:val="center"/>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76"/>
        <w:gridCol w:w="628"/>
        <w:gridCol w:w="2055"/>
        <w:gridCol w:w="3053"/>
        <w:gridCol w:w="469"/>
        <w:gridCol w:w="5139"/>
        <w:gridCol w:w="178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blHeade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bookmarkStart w:id="7" w:name="_Hlk135306381"/>
            <w:r>
              <w:rPr>
                <w:rFonts w:hint="eastAsia" w:ascii="微软雅黑" w:hAnsi="微软雅黑" w:eastAsia="微软雅黑"/>
                <w:color w:val="000000"/>
                <w:sz w:val="21"/>
                <w:szCs w:val="21"/>
                <w:lang w:val="en-US" w:bidi="ar"/>
              </w:rPr>
              <w:t>序号</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评价</w:t>
            </w:r>
          </w:p>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类别</w:t>
            </w:r>
          </w:p>
        </w:tc>
        <w:tc>
          <w:tcPr>
            <w:tcW w:w="2055"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评价内容</w:t>
            </w:r>
          </w:p>
        </w:tc>
        <w:tc>
          <w:tcPr>
            <w:tcW w:w="3053"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评分标准</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分数</w:t>
            </w:r>
          </w:p>
        </w:tc>
        <w:tc>
          <w:tcPr>
            <w:tcW w:w="513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支撑材料清单</w:t>
            </w:r>
          </w:p>
        </w:tc>
        <w:tc>
          <w:tcPr>
            <w:tcW w:w="178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责任单位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用水定额管理</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严格各行业用水定额管理，强化定额使用</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在水资源论证、取水许可、节水载体认定等工作中严格执行用水定 额，得 8 分。在近两年上级部门水资源管理监督检查中，发现一例未按规定使用用水定额的，扣 1 分，扣完为止</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8</w:t>
            </w:r>
          </w:p>
        </w:tc>
        <w:tc>
          <w:tcPr>
            <w:tcW w:w="5139" w:type="dxa"/>
            <w:noWrap w:val="0"/>
            <w:vAlign w:val="center"/>
          </w:tcPr>
          <w:p>
            <w:pPr>
              <w:pStyle w:val="17"/>
              <w:numPr>
                <w:ilvl w:val="0"/>
                <w:numId w:val="1"/>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行业用水定额制定文件，或者转发省、设区市出台的相关标准及文件；</w:t>
            </w:r>
          </w:p>
          <w:p>
            <w:pPr>
              <w:pStyle w:val="17"/>
              <w:numPr>
                <w:ilvl w:val="0"/>
                <w:numId w:val="1"/>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近两年开展的水资源论证、取水许可、节水型载体认定、节水评估、用水审计等报告书中包含用水定额使用情况的内容节选；</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3、开展用水定额日常管理的支撑材料等。</w:t>
            </w:r>
          </w:p>
        </w:tc>
        <w:tc>
          <w:tcPr>
            <w:tcW w:w="1786" w:type="dxa"/>
            <w:noWrap w:val="0"/>
            <w:vAlign w:val="center"/>
          </w:tcPr>
          <w:p>
            <w:pPr>
              <w:pStyle w:val="17"/>
              <w:adjustRightInd w:val="0"/>
              <w:snapToGrid w:val="0"/>
              <w:rPr>
                <w:rFonts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水利局、商工局、</w:t>
            </w:r>
          </w:p>
          <w:p>
            <w:pPr>
              <w:pStyle w:val="17"/>
              <w:adjustRightInd w:val="0"/>
              <w:snapToGrid w:val="0"/>
              <w:rPr>
                <w:rFonts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机关事务管理局、</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计划用水管理</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纳入计划用水管理的城镇非居民用水单位[1]数量占应纳入计划用水管理的城镇非居民用水单位数量的比例</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所占比例达到 100%，得 10 分；每低 3%，扣 1 分，扣完为止</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10</w:t>
            </w:r>
          </w:p>
        </w:tc>
        <w:tc>
          <w:tcPr>
            <w:tcW w:w="5139" w:type="dxa"/>
            <w:noWrap w:val="0"/>
            <w:vAlign w:val="center"/>
          </w:tcPr>
          <w:p>
            <w:pPr>
              <w:pStyle w:val="17"/>
              <w:numPr>
                <w:ilvl w:val="0"/>
                <w:numId w:val="2"/>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明确纳入计划用水管理的城镇非居民用水单位规模的相关文件和用水户名录；</w:t>
            </w:r>
          </w:p>
          <w:p>
            <w:pPr>
              <w:pStyle w:val="17"/>
              <w:numPr>
                <w:ilvl w:val="0"/>
                <w:numId w:val="2"/>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已执行计划用水管理的城镇非居民用水单位数量和名录，计算纳入计划用水管理的用水户占比；</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3、开展计划用水日常管理台帐资料。</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水利局、住建局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w:t>
            </w:r>
          </w:p>
        </w:tc>
        <w:tc>
          <w:tcPr>
            <w:tcW w:w="628"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用水计量</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农业灌溉用水计量率[2]：农业灌溉用水计量水量占农业灌溉用水总量的比例</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农业灌溉用水计量率≥80%，得 5 分；每低 4%，扣 1 分，扣完为止</w:t>
            </w:r>
          </w:p>
        </w:tc>
        <w:tc>
          <w:tcPr>
            <w:tcW w:w="469"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10</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1、全</w:t>
            </w:r>
            <w:r>
              <w:rPr>
                <w:rFonts w:hint="eastAsia" w:ascii="微软雅黑" w:hAnsi="微软雅黑" w:eastAsia="微软雅黑"/>
                <w:color w:val="000000"/>
                <w:sz w:val="21"/>
                <w:szCs w:val="21"/>
                <w:lang w:val="en-US" w:eastAsia="zh-CN" w:bidi="ar"/>
              </w:rPr>
              <w:t>县</w:t>
            </w:r>
            <w:r>
              <w:rPr>
                <w:rFonts w:hint="eastAsia" w:ascii="微软雅黑" w:hAnsi="微软雅黑" w:eastAsia="微软雅黑"/>
                <w:color w:val="000000"/>
                <w:sz w:val="21"/>
                <w:szCs w:val="21"/>
                <w:lang w:val="en-US" w:bidi="ar"/>
              </w:rPr>
              <w:t>农业灌溉用水总量，以当年水资源公报数据为准；</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2、农业灌溉计量水量，测算农业灌溉用水计量水量占灌溉用水总量的比例；</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水利局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工业用水计量率：工业用水计量水量与工业用水总量的比值</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工业用水计量率为 100%，得 5 分； 每低 3%，扣 1 分，扣完为止。规模以上工业企业[3]用水计量率必须达到 100%，否则本项得 0 分</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1、全</w:t>
            </w:r>
            <w:r>
              <w:rPr>
                <w:rFonts w:hint="eastAsia" w:ascii="微软雅黑" w:hAnsi="微软雅黑" w:eastAsia="微软雅黑"/>
                <w:color w:val="000000"/>
                <w:sz w:val="21"/>
                <w:szCs w:val="21"/>
                <w:lang w:val="en-US" w:eastAsia="zh-CN" w:bidi="ar"/>
              </w:rPr>
              <w:t>县</w:t>
            </w:r>
            <w:r>
              <w:rPr>
                <w:rFonts w:hint="eastAsia" w:ascii="微软雅黑" w:hAnsi="微软雅黑" w:eastAsia="微软雅黑"/>
                <w:color w:val="000000"/>
                <w:sz w:val="21"/>
                <w:szCs w:val="21"/>
                <w:lang w:val="en-US" w:bidi="ar"/>
              </w:rPr>
              <w:t>工业用水总量，以当年水资源公报或考核数据为准；</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2、工业用水计量水量，规模以上工业企业名录及计量用水台帐资料，测算工业用水计量水量占工业用水总量比例；</w:t>
            </w:r>
          </w:p>
        </w:tc>
        <w:tc>
          <w:tcPr>
            <w:tcW w:w="1786" w:type="dxa"/>
            <w:noWrap w:val="0"/>
            <w:vAlign w:val="center"/>
          </w:tcPr>
          <w:p>
            <w:pPr>
              <w:widowControl/>
              <w:adjustRightInd w:val="0"/>
              <w:snapToGrid w:val="0"/>
              <w:textAlignment w:val="center"/>
              <w:rPr>
                <w:rFonts w:hint="eastAsia"/>
                <w:lang w:val="en-US" w:bidi="ar"/>
              </w:rPr>
            </w:pPr>
            <w:r>
              <w:rPr>
                <w:rFonts w:hint="eastAsia" w:ascii="微软雅黑" w:hAnsi="微软雅黑" w:eastAsia="微软雅黑"/>
                <w:color w:val="000000"/>
                <w:sz w:val="21"/>
                <w:szCs w:val="21"/>
                <w:lang w:val="en-US" w:bidi="ar"/>
              </w:rPr>
              <w:t>商工局、水利局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ascii="微软雅黑" w:hAnsi="微软雅黑" w:eastAsia="微软雅黑"/>
                <w:color w:val="000000"/>
                <w:sz w:val="21"/>
                <w:szCs w:val="21"/>
                <w:lang w:val="en-US" w:bidi="ar"/>
              </w:rPr>
              <w:t>4</w:t>
            </w:r>
          </w:p>
        </w:tc>
        <w:tc>
          <w:tcPr>
            <w:tcW w:w="628"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水价机制</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推进农业水价综合改革，建立健全农业水价形成机制，推进农业水权制度建设，建立农业用水精准补贴和节水奖励机制</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农业水价综合改革实际实施面积占计划实施面积[4]比达到100%，得 2分；每低 2%，扣0.1分，扣完为止实际执行水价加精准补贴（补贴工程运行维护费部分）占运行维护成本比达到 100%，得2 分；每低 2%扣0.1分，扣完为止</w:t>
            </w:r>
          </w:p>
        </w:tc>
        <w:tc>
          <w:tcPr>
            <w:tcW w:w="469" w:type="dxa"/>
            <w:vMerge w:val="restart"/>
            <w:noWrap w:val="0"/>
            <w:vAlign w:val="center"/>
          </w:tcPr>
          <w:p>
            <w:pPr>
              <w:pStyle w:val="17"/>
              <w:adjustRightInd w:val="0"/>
              <w:snapToGrid w:val="0"/>
              <w:jc w:val="center"/>
              <w:rPr>
                <w:rFonts w:ascii="微软雅黑" w:hAnsi="微软雅黑" w:eastAsia="微软雅黑"/>
                <w:color w:val="000000"/>
                <w:sz w:val="21"/>
                <w:szCs w:val="21"/>
                <w:lang w:val="en-US" w:bidi="ar"/>
              </w:rPr>
            </w:pPr>
            <w:r>
              <w:rPr>
                <w:rFonts w:ascii="微软雅黑" w:hAnsi="微软雅黑" w:eastAsia="微软雅黑"/>
                <w:color w:val="000000"/>
                <w:sz w:val="21"/>
                <w:szCs w:val="21"/>
                <w:lang w:val="en-US" w:bidi="ar"/>
              </w:rPr>
              <w:t>1</w:t>
            </w:r>
            <w:r>
              <w:rPr>
                <w:rFonts w:hint="eastAsia" w:ascii="微软雅黑" w:hAnsi="微软雅黑" w:eastAsia="微软雅黑"/>
                <w:color w:val="000000"/>
                <w:sz w:val="21"/>
                <w:szCs w:val="21"/>
                <w:lang w:val="en-US" w:bidi="ar"/>
              </w:rPr>
              <w:t>6</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1、出台农业水价综合改革实施计划、农业用水精准补贴政策文件；</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2、农业水价综合改革计划实施面积和实际实施面积的证明材料；</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3、实际执行水价加精准补贴（补贴工程运行维护费部分）经费的证明材料及运行维护成本测算材料。</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发改委、财政局、水利局、各乡镇人民政府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bidi="ar"/>
              </w:rPr>
            </w:pPr>
            <w:r>
              <w:rPr>
                <w:rFonts w:hint="eastAsia" w:ascii="微软雅黑" w:hAnsi="微软雅黑" w:eastAsia="微软雅黑"/>
                <w:color w:val="000000"/>
                <w:sz w:val="21"/>
                <w:szCs w:val="21"/>
                <w:lang w:val="en-US" w:bidi="ar"/>
              </w:rPr>
              <w:t>实行居民用水阶梯水价制度</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bidi="ar"/>
              </w:rPr>
            </w:pPr>
            <w:r>
              <w:rPr>
                <w:rFonts w:hint="eastAsia" w:ascii="微软雅黑" w:hAnsi="微软雅黑" w:eastAsia="微软雅黑"/>
                <w:color w:val="000000"/>
                <w:sz w:val="21"/>
                <w:szCs w:val="21"/>
                <w:lang w:val="en-US" w:bidi="ar"/>
              </w:rPr>
              <w:t>城镇居民生活用水实行阶梯水价制度，得 4 分；未实行，得 0 分</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1、出台居民用水阶梯水价政策文件；</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2、实际执行居民用水阶梯水价的证明材料。</w:t>
            </w:r>
          </w:p>
        </w:tc>
        <w:tc>
          <w:tcPr>
            <w:tcW w:w="1786"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发改委、住建局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实行非居民用水超计划超定额累进加价制度</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非居民用水实行超计划超定额累进加价制度，得 4 分；未实行，得 0 分</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1、出台非居民用水超计划超定额累进加价政策文件；2、实际执行计划用水户超计划用水累进加价制度的证明材料。</w:t>
            </w:r>
          </w:p>
        </w:tc>
        <w:tc>
          <w:tcPr>
            <w:tcW w:w="1786"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发改委、水利局、住建局、商工局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vMerge w:val="restart"/>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水资源费征缴</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按标准足额征缴水资源费，得 4 分</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1、出台水资源费征收标准的政策文件；</w:t>
            </w:r>
          </w:p>
        </w:tc>
        <w:tc>
          <w:tcPr>
            <w:tcW w:w="1786" w:type="dxa"/>
            <w:vMerge w:val="restart"/>
            <w:noWrap w:val="0"/>
            <w:vAlign w:val="center"/>
          </w:tcPr>
          <w:p>
            <w:pPr>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财政局、水利局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p>
        </w:tc>
        <w:tc>
          <w:tcPr>
            <w:tcW w:w="2055" w:type="dxa"/>
            <w:vMerge w:val="continue"/>
            <w:noWrap w:val="0"/>
            <w:vAlign w:val="center"/>
          </w:tcPr>
          <w:p>
            <w:pPr>
              <w:pStyle w:val="17"/>
              <w:adjustRightInd w:val="0"/>
              <w:snapToGrid w:val="0"/>
              <w:rPr>
                <w:rFonts w:hint="eastAsia" w:ascii="微软雅黑" w:hAnsi="微软雅黑" w:eastAsia="微软雅黑"/>
                <w:color w:val="000000"/>
                <w:sz w:val="21"/>
                <w:szCs w:val="21"/>
                <w:lang w:val="en-US" w:bidi="ar"/>
              </w:rPr>
            </w:pP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在近两年上级部门水资源管理监督检查中，发现 1 例未足额征缴的，扣 1 分，扣完为止</w:t>
            </w:r>
          </w:p>
        </w:tc>
        <w:tc>
          <w:tcPr>
            <w:tcW w:w="469" w:type="dxa"/>
            <w:vMerge w:val="continue"/>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1、近两年水资源费征收票据、台帐和财务部门出具的使用情况说明。</w:t>
            </w:r>
          </w:p>
        </w:tc>
        <w:tc>
          <w:tcPr>
            <w:tcW w:w="1786" w:type="dxa"/>
            <w:vMerge w:val="continue"/>
            <w:noWrap w:val="0"/>
            <w:vAlign w:val="center"/>
          </w:tcPr>
          <w:p>
            <w:pPr>
              <w:widowControl/>
              <w:adjustRightInd w:val="0"/>
              <w:snapToGrid w:val="0"/>
              <w:textAlignment w:val="center"/>
              <w:rPr>
                <w:rFonts w:hint="eastAsia" w:ascii="微软雅黑" w:hAnsi="微软雅黑" w:eastAsia="微软雅黑"/>
                <w:color w:val="000000"/>
                <w:sz w:val="21"/>
                <w:szCs w:val="21"/>
                <w:lang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5</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节水“三</w:t>
            </w:r>
          </w:p>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同时” 管理</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新（改、扩）建建设项目执行节水设施与主体工程同时设计、同时施工、同时投产制度</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新（改、扩）建建设项目全部执行节水“三同时”管理制度，得 6 分在近两年上级部门水资源管理监督检查中，发现 1 例未落实节水“三同时”制度的，扣 1 分，扣完为止</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6</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1、出台建设项目节水“三同时”政策文件；</w:t>
            </w:r>
          </w:p>
          <w:p>
            <w:pPr>
              <w:pStyle w:val="17"/>
              <w:numPr>
                <w:ilvl w:val="0"/>
                <w:numId w:val="3"/>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近两年建设项目节水措施方案、节水设施设计章节节选；</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3、近两年新改扩建建设项目清单以及开展建设项目节水“三同时”工作的相关材料。</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发改委、住建局、水利局、商工局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6</w:t>
            </w:r>
          </w:p>
        </w:tc>
        <w:tc>
          <w:tcPr>
            <w:tcW w:w="628"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节水载体建设</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节水型企业建成率：重点用水行业[5]节水型企业数量与重点用水行业企业总数的比值</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节水型企业建成率≥50%，得 6 分每低 3%，扣 1 分，扣完为止</w:t>
            </w:r>
          </w:p>
        </w:tc>
        <w:tc>
          <w:tcPr>
            <w:tcW w:w="469"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18</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1、规模以上重点用水行业企业名录；</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2、已创成节水型企业的重点用水行业企业名录，计算其所占比例；</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商工局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公共机构节水型单位建成率：公共机构节水型单位数量与公共机构[6]总数的比值</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公共机构节水型单位建成率≥50% 得 6 分；每低 3%，扣 1 分，扣完为止</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1、县（市、区）级机关及直属事业单位名录；</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2、已创成节水型单位的公共机构名录，计算其所占比例；</w:t>
            </w:r>
          </w:p>
        </w:tc>
        <w:tc>
          <w:tcPr>
            <w:tcW w:w="1786"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机关事务管理局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节水型居民小区建成率：节水型居民小区数量与居民小区[7]总数的比值</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节水型居民小区建成率≥20%，得 6 分；每低 1%，扣 2 分，扣完为止</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1、由物业公司统一管理、实行集中供水的城镇居民小区名录；</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2、已创成节水型社区的小区名录，计算其所占比例；</w:t>
            </w:r>
          </w:p>
        </w:tc>
        <w:tc>
          <w:tcPr>
            <w:tcW w:w="1786"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住建局、各管委会、街道办事处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7</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供水管网漏损控制</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公共供水管网漏损率：城镇公共供水总量和有效供水量之差与供水总量的比值</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公共供水管网漏损率≤10%（各地区可根据《城市供水管网漏损控制及评定标准》（CJJ92-2016）对 10% 的评价值进行修订，按照修订值进行评分），得 8 分；每高 1%，扣 1分，扣完为止</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8</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1、供水部门提供的城镇公共供水总量数据和有效供水量资料，测算城镇</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公共供水总量和有效供水量之差与供水总量的比值；2、根据《城市供水管网漏损控制及评定标准》（CJJ92-2016）对评价值进行修订的相关支撑材料。</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住建局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8</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生活节水器具推广</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全面推动公共场所</w:t>
            </w:r>
            <w:r>
              <w:rPr>
                <w:rFonts w:hint="eastAsia" w:ascii="微软雅黑" w:hAnsi="微软雅黑" w:eastAsia="微软雅黑"/>
                <w:color w:val="000000"/>
                <w:sz w:val="21"/>
                <w:szCs w:val="21"/>
                <w:vertAlign w:val="superscript"/>
                <w:lang w:val="en-US" w:bidi="ar"/>
              </w:rPr>
              <w:t>[8]</w:t>
            </w:r>
            <w:r>
              <w:rPr>
                <w:rFonts w:hint="eastAsia" w:ascii="微软雅黑" w:hAnsi="微软雅黑" w:eastAsia="微软雅黑"/>
                <w:color w:val="000000"/>
                <w:sz w:val="21"/>
                <w:szCs w:val="21"/>
                <w:lang w:val="en-US" w:bidi="ar"/>
              </w:rPr>
              <w:t>、居民家庭使用生活节水器具</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公共场所和新建小区居民家庭全部采用节水器具，得 8 分；发现 1 例未使用，扣 1 分，扣完为止。（初评抽查的公共场所和居民家庭不少于 10个）</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8</w:t>
            </w:r>
          </w:p>
        </w:tc>
        <w:tc>
          <w:tcPr>
            <w:tcW w:w="5139" w:type="dxa"/>
            <w:noWrap w:val="0"/>
            <w:vAlign w:val="center"/>
          </w:tcPr>
          <w:p>
            <w:pPr>
              <w:pStyle w:val="17"/>
              <w:numPr>
                <w:ilvl w:val="0"/>
                <w:numId w:val="4"/>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开展公共场所、居民家庭使用生活节水器具情况抽查的部署文件；</w:t>
            </w:r>
          </w:p>
          <w:p>
            <w:pPr>
              <w:pStyle w:val="17"/>
              <w:numPr>
                <w:ilvl w:val="0"/>
                <w:numId w:val="4"/>
              </w:numPr>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节水器具使用抽查情况报告（抽查的公共场所和居民家庭不少于10 个）</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住建局、市场监管局、教育局、卫健委、水利局、商工局、文旅局、各乡镇人民政府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9</w:t>
            </w:r>
          </w:p>
        </w:tc>
        <w:tc>
          <w:tcPr>
            <w:tcW w:w="628"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再生水利用</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再生水利用率： 经过处理并再次利用的污水量与污水总量的比值（指县政处理部分，不含企业内部循环利用部分）</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再生水利用率20％，得 8 分；每低1％，扣 1 分，扣完为止</w:t>
            </w:r>
          </w:p>
        </w:tc>
        <w:tc>
          <w:tcPr>
            <w:tcW w:w="469" w:type="dxa"/>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8</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1、污水处理和再生水利用计划或实施方案</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2、经过处理并再次利用的污水量与污水总量台账</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住建局、生态环境局、商工局、水利局、林草局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10</w:t>
            </w:r>
          </w:p>
        </w:tc>
        <w:tc>
          <w:tcPr>
            <w:tcW w:w="628"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社会节水意识</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开 开展节水宣传教育活动</w:t>
            </w:r>
          </w:p>
        </w:tc>
        <w:tc>
          <w:tcPr>
            <w:tcW w:w="3053"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经常性开展节水公益宣传活动，普及水情知识和节水知识，得 4 分；未开展，得 0 分</w:t>
            </w:r>
          </w:p>
        </w:tc>
        <w:tc>
          <w:tcPr>
            <w:tcW w:w="469"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8</w:t>
            </w:r>
          </w:p>
        </w:tc>
        <w:tc>
          <w:tcPr>
            <w:tcW w:w="5139"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1、节水宣传计划和方案；</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2、节水宣传资料、图片等印证资料；</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3、节水宣传普及和节水知识考试及群众知晓率。</w:t>
            </w:r>
          </w:p>
        </w:tc>
        <w:tc>
          <w:tcPr>
            <w:tcW w:w="1786" w:type="dxa"/>
            <w:vMerge w:val="restart"/>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节水型社会建设各成员单位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公众具有明显的节水意识</w:t>
            </w:r>
          </w:p>
        </w:tc>
        <w:tc>
          <w:tcPr>
            <w:tcW w:w="3053"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通过电话、网络等方式进行公众节水意识调查，70％以上的调查对象具有明显的节水意识，得 4 分；每低 5％，扣 1 分，扣完为止</w:t>
            </w:r>
          </w:p>
        </w:tc>
        <w:tc>
          <w:tcPr>
            <w:tcW w:w="469"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5139"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1、调查公众对节水意识的等印证资料；</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2、公众民意对节水意识测评结果。</w:t>
            </w:r>
          </w:p>
        </w:tc>
        <w:tc>
          <w:tcPr>
            <w:tcW w:w="1786" w:type="dxa"/>
            <w:vMerge w:val="continue"/>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11</w:t>
            </w:r>
          </w:p>
        </w:tc>
        <w:tc>
          <w:tcPr>
            <w:tcW w:w="628" w:type="dxa"/>
            <w:vMerge w:val="restart"/>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加分项</w:t>
            </w:r>
          </w:p>
        </w:tc>
        <w:tc>
          <w:tcPr>
            <w:tcW w:w="2055"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节水标杆示范</w:t>
            </w:r>
          </w:p>
        </w:tc>
        <w:tc>
          <w:tcPr>
            <w:tcW w:w="3053" w:type="dxa"/>
            <w:tcBorders>
              <w:bottom w:val="single" w:color="auto" w:sz="4" w:space="0"/>
            </w:tcBorders>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区域内有企业、公共机构、产品、灌区被评为国家级或省级标杆单位（企业），加 3 分</w:t>
            </w:r>
          </w:p>
        </w:tc>
        <w:tc>
          <w:tcPr>
            <w:tcW w:w="469" w:type="dxa"/>
            <w:tcBorders>
              <w:bottom w:val="single" w:color="auto" w:sz="4" w:space="0"/>
            </w:tcBorders>
            <w:noWrap w:val="0"/>
            <w:vAlign w:val="center"/>
          </w:tcPr>
          <w:p>
            <w:pPr>
              <w:pStyle w:val="17"/>
              <w:adjustRightInd w:val="0"/>
              <w:snapToGrid w:val="0"/>
              <w:jc w:val="center"/>
              <w:rPr>
                <w:rFonts w:hint="eastAsia" w:ascii="微软雅黑" w:hAnsi="微软雅黑" w:eastAsia="微软雅黑"/>
                <w:color w:val="000000"/>
                <w:sz w:val="21"/>
                <w:szCs w:val="21"/>
                <w:lang w:val="en-US" w:bidi="ar"/>
              </w:rPr>
            </w:pPr>
            <w:r>
              <w:rPr>
                <w:rFonts w:ascii="微软雅黑" w:hAnsi="微软雅黑" w:eastAsia="微软雅黑"/>
                <w:color w:val="000000"/>
                <w:sz w:val="21"/>
                <w:szCs w:val="21"/>
                <w:lang w:val="en-US" w:bidi="ar"/>
              </w:rPr>
              <w:t>3</w:t>
            </w:r>
          </w:p>
        </w:tc>
        <w:tc>
          <w:tcPr>
            <w:tcW w:w="5139" w:type="dxa"/>
            <w:tcBorders>
              <w:bottom w:val="single" w:color="auto" w:sz="4" w:space="0"/>
            </w:tcBorders>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1、积极开展创建节水型标杆单位；</w:t>
            </w:r>
          </w:p>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2、创建节水型标杆单位的印证资料。</w:t>
            </w:r>
          </w:p>
        </w:tc>
        <w:tc>
          <w:tcPr>
            <w:tcW w:w="1786" w:type="dxa"/>
            <w:noWrap w:val="0"/>
            <w:vAlign w:val="center"/>
          </w:tcPr>
          <w:p>
            <w:pPr>
              <w:pStyle w:val="17"/>
              <w:adjustRightInd w:val="0"/>
              <w:snapToGrid w:val="0"/>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水利局、商工局、住建局、教育局、卫健委</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实行节水激励政策</w:t>
            </w:r>
          </w:p>
        </w:tc>
        <w:tc>
          <w:tcPr>
            <w:tcW w:w="3053" w:type="dxa"/>
            <w:tcBorders>
              <w:top w:val="single" w:color="auto" w:sz="4" w:space="0"/>
              <w:bottom w:val="single" w:color="auto" w:sz="4" w:space="0"/>
            </w:tcBorders>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本级财政对节水项目建设、节水节水推广等实行补贴或其他优惠等奖励政策</w:t>
            </w:r>
          </w:p>
        </w:tc>
        <w:tc>
          <w:tcPr>
            <w:tcW w:w="469" w:type="dxa"/>
            <w:tcBorders>
              <w:top w:val="single" w:color="auto" w:sz="4" w:space="0"/>
              <w:bottom w:val="single" w:color="auto" w:sz="4" w:space="0"/>
            </w:tcBorders>
            <w:noWrap w:val="0"/>
            <w:vAlign w:val="center"/>
          </w:tcPr>
          <w:p>
            <w:pPr>
              <w:adjustRightInd w:val="0"/>
              <w:snapToGrid w:val="0"/>
              <w:jc w:val="center"/>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4</w:t>
            </w:r>
          </w:p>
        </w:tc>
        <w:tc>
          <w:tcPr>
            <w:tcW w:w="5139" w:type="dxa"/>
            <w:tcBorders>
              <w:top w:val="single" w:color="auto" w:sz="4" w:space="0"/>
              <w:bottom w:val="single" w:color="auto" w:sz="4" w:space="0"/>
            </w:tcBorders>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1、节水项目建设、节水节水推广计划和实施方案；</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2、节水项目建设、节水节水推广等实行补贴或其他优惠奖励政策。</w:t>
            </w:r>
          </w:p>
        </w:tc>
        <w:tc>
          <w:tcPr>
            <w:tcW w:w="1786"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发改委、财政局、水利局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jc w:val="center"/>
        </w:trPr>
        <w:tc>
          <w:tcPr>
            <w:tcW w:w="476"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628" w:type="dxa"/>
            <w:vMerge w:val="continue"/>
            <w:noWrap w:val="0"/>
            <w:vAlign w:val="center"/>
          </w:tcPr>
          <w:p>
            <w:pPr>
              <w:widowControl/>
              <w:adjustRightInd w:val="0"/>
              <w:snapToGrid w:val="0"/>
              <w:jc w:val="both"/>
              <w:textAlignment w:val="center"/>
              <w:rPr>
                <w:rFonts w:hint="eastAsia" w:ascii="微软雅黑" w:hAnsi="微软雅黑" w:eastAsia="微软雅黑"/>
                <w:color w:val="000000"/>
                <w:sz w:val="21"/>
                <w:szCs w:val="21"/>
                <w:lang w:val="en-US" w:bidi="ar"/>
              </w:rPr>
            </w:pPr>
          </w:p>
        </w:tc>
        <w:tc>
          <w:tcPr>
            <w:tcW w:w="2055"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推广喷灌、微灌管道输水等高效节水灌溉技术</w:t>
            </w:r>
          </w:p>
        </w:tc>
        <w:tc>
          <w:tcPr>
            <w:tcW w:w="3053" w:type="dxa"/>
            <w:tcBorders>
              <w:top w:val="single" w:color="auto" w:sz="4" w:space="0"/>
            </w:tcBorders>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高效节水灌溉率≥40％，加 3 分；</w:t>
            </w:r>
          </w:p>
        </w:tc>
        <w:tc>
          <w:tcPr>
            <w:tcW w:w="469" w:type="dxa"/>
            <w:tcBorders>
              <w:top w:val="single" w:color="auto" w:sz="4" w:space="0"/>
            </w:tcBorders>
            <w:noWrap w:val="0"/>
            <w:vAlign w:val="center"/>
          </w:tcPr>
          <w:p>
            <w:pPr>
              <w:widowControl/>
              <w:adjustRightInd w:val="0"/>
              <w:snapToGrid w:val="0"/>
              <w:jc w:val="center"/>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3</w:t>
            </w:r>
          </w:p>
        </w:tc>
        <w:tc>
          <w:tcPr>
            <w:tcW w:w="5139" w:type="dxa"/>
            <w:tcBorders>
              <w:top w:val="single" w:color="auto" w:sz="4" w:space="0"/>
            </w:tcBorders>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1、高效节水项目规划和实施方案</w:t>
            </w:r>
          </w:p>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2、高效节水项目完成情况、结果及成效。</w:t>
            </w:r>
          </w:p>
        </w:tc>
        <w:tc>
          <w:tcPr>
            <w:tcW w:w="1786" w:type="dxa"/>
            <w:noWrap w:val="0"/>
            <w:vAlign w:val="center"/>
          </w:tcPr>
          <w:p>
            <w:pPr>
              <w:widowControl/>
              <w:adjustRightInd w:val="0"/>
              <w:snapToGrid w:val="0"/>
              <w:textAlignment w:val="center"/>
              <w:rPr>
                <w:rFonts w:hint="eastAsia" w:ascii="微软雅黑" w:hAnsi="微软雅黑" w:eastAsia="微软雅黑"/>
                <w:color w:val="000000"/>
                <w:sz w:val="21"/>
                <w:szCs w:val="21"/>
                <w:lang w:val="en-US" w:bidi="ar"/>
              </w:rPr>
            </w:pPr>
            <w:r>
              <w:rPr>
                <w:rFonts w:hint="eastAsia" w:ascii="微软雅黑" w:hAnsi="微软雅黑" w:eastAsia="微软雅黑"/>
                <w:color w:val="000000"/>
                <w:sz w:val="21"/>
                <w:szCs w:val="21"/>
                <w:lang w:val="en-US" w:bidi="ar"/>
              </w:rPr>
              <w:t>农业农村</w:t>
            </w:r>
            <w:bookmarkStart w:id="8" w:name="_GoBack"/>
            <w:bookmarkEnd w:id="8"/>
            <w:r>
              <w:rPr>
                <w:rFonts w:hint="eastAsia" w:ascii="微软雅黑" w:hAnsi="微软雅黑" w:eastAsia="微软雅黑"/>
                <w:color w:val="000000"/>
                <w:sz w:val="21"/>
                <w:szCs w:val="21"/>
                <w:lang w:val="en-US" w:bidi="ar"/>
              </w:rPr>
              <w:t>局、水利局、自然资源局、各乡镇人民政府</w:t>
            </w:r>
          </w:p>
        </w:tc>
      </w:tr>
      <w:bookmarkEnd w:id="7"/>
    </w:tbl>
    <w:p>
      <w:pPr>
        <w:adjustRightInd w:val="0"/>
        <w:snapToGrid w:val="0"/>
        <w:spacing w:line="360" w:lineRule="auto"/>
        <w:ind w:firstLine="420" w:firstLineChars="200"/>
        <w:rPr>
          <w:sz w:val="21"/>
          <w:szCs w:val="21"/>
          <w:lang w:val="en-US"/>
        </w:rPr>
      </w:pPr>
    </w:p>
    <w:p>
      <w:pPr>
        <w:pStyle w:val="2"/>
        <w:rPr>
          <w:rFonts w:hint="eastAsia"/>
        </w:rPr>
        <w:sectPr>
          <w:type w:val="nextColumn"/>
          <w:pgSz w:w="16781" w:h="11849" w:orient="landscape"/>
          <w:pgMar w:top="1440" w:right="1797" w:bottom="1440" w:left="1797" w:header="720" w:footer="720" w:gutter="0"/>
          <w:pgNumType w:fmt="numberInDash"/>
          <w:cols w:space="720" w:num="1"/>
        </w:sectPr>
      </w:pPr>
    </w:p>
    <w:p>
      <w:pPr>
        <w:pStyle w:val="6"/>
        <w:adjustRightInd w:val="0"/>
        <w:snapToGrid w:val="0"/>
        <w:spacing w:line="360" w:lineRule="auto"/>
        <w:ind w:left="0" w:leftChars="0" w:firstLine="0" w:firstLineChars="0"/>
        <w:rPr>
          <w:rFonts w:hint="eastAsia"/>
        </w:rPr>
      </w:pPr>
    </w:p>
    <w:sectPr>
      <w:type w:val="nextColumn"/>
      <w:pgSz w:w="11849" w:h="16781"/>
      <w:pgMar w:top="1440" w:right="1797" w:bottom="1440" w:left="1797"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54E667-5DDB-4D0F-AE25-69B08BAE402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embedRegular r:id="rId2" w:fontKey="{5A44958F-D3C6-4CAB-A887-3C478F29B55D}"/>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embedRegular r:id="rId3" w:fontKey="{D289719F-595D-4573-86AF-E6FD4151E29B}"/>
  </w:font>
  <w:font w:name="方正小标宋_GBK">
    <w:panose1 w:val="03000502000000000000"/>
    <w:charset w:val="86"/>
    <w:family w:val="script"/>
    <w:pitch w:val="default"/>
    <w:sig w:usb0="00000001" w:usb1="080E0000" w:usb2="00000000" w:usb3="00000000" w:csb0="00040000" w:csb1="00000000"/>
    <w:embedRegular r:id="rId4" w:fontKey="{802FE120-76DD-4BF2-A288-35A7AE3DA02E}"/>
  </w:font>
  <w:font w:name="仿宋">
    <w:panose1 w:val="02010609060101010101"/>
    <w:charset w:val="86"/>
    <w:family w:val="modern"/>
    <w:pitch w:val="default"/>
    <w:sig w:usb0="800002BF" w:usb1="38CF7CFA" w:usb2="00000016" w:usb3="00000000" w:csb0="00040001" w:csb1="00000000"/>
    <w:embedRegular r:id="rId5" w:fontKey="{2B659210-A5D1-4BF2-A02D-BE6DCD1AB085}"/>
  </w:font>
  <w:font w:name="方正仿宋_GBK">
    <w:panose1 w:val="03000509000000000000"/>
    <w:charset w:val="86"/>
    <w:family w:val="script"/>
    <w:pitch w:val="default"/>
    <w:sig w:usb0="00000001" w:usb1="080E0000" w:usb2="00000000" w:usb3="00000000" w:csb0="00040000" w:csb1="00000000"/>
    <w:embedRegular r:id="rId6" w:fontKey="{0C57F355-2446-46D9-95B9-A44A94D43AE9}"/>
  </w:font>
  <w:font w:name="方正小标宋简体">
    <w:panose1 w:val="02010601030101010101"/>
    <w:charset w:val="86"/>
    <w:family w:val="script"/>
    <w:pitch w:val="default"/>
    <w:sig w:usb0="00000001" w:usb1="080E0000" w:usb2="00000000" w:usb3="00000000" w:csb0="00040000" w:csb1="00000000"/>
    <w:embedRegular r:id="rId7" w:fontKey="{931BE841-BA58-4AE2-9A15-B914007280B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rPr>
                          </w:pPr>
                          <w:r>
                            <w:rPr>
                              <w:rFonts w:hint="eastAsia"/>
                              <w:sz w:val="28"/>
                              <w:szCs w:val="40"/>
                            </w:rPr>
                            <w:fldChar w:fldCharType="begin"/>
                          </w:r>
                          <w:r>
                            <w:rPr>
                              <w:rFonts w:hint="eastAsia"/>
                              <w:sz w:val="28"/>
                              <w:szCs w:val="40"/>
                            </w:rPr>
                            <w:instrText xml:space="preserve"> PAGE  \* MERGEFORMAT </w:instrText>
                          </w:r>
                          <w:r>
                            <w:rPr>
                              <w:rFonts w:hint="eastAsia"/>
                              <w:sz w:val="28"/>
                              <w:szCs w:val="40"/>
                            </w:rPr>
                            <w:fldChar w:fldCharType="separate"/>
                          </w:r>
                          <w:r>
                            <w:rPr>
                              <w:rFonts w:hint="eastAsia"/>
                              <w:sz w:val="28"/>
                              <w:szCs w:val="40"/>
                            </w:rPr>
                            <w:t>- 1 -</w:t>
                          </w:r>
                          <w:r>
                            <w:rPr>
                              <w:rFonts w:hint="eastAsia"/>
                              <w:sz w:val="28"/>
                              <w:szCs w:val="40"/>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XYcNCtAQAASwMA&#10;AA4AAAAAAAAAAQAgAAAAHgEAAGRycy9lMm9Eb2MueG1sUEsFBgAAAAAGAAYAWQEAAD0FAAAAAA==&#10;">
              <v:fill on="f" focussize="0,0"/>
              <v:stroke on="f"/>
              <v:imagedata o:title=""/>
              <o:lock v:ext="edit" aspectratio="f"/>
              <v:textbox inset="0mm,0mm,0mm,0mm" style="mso-fit-shape-to-text:t;">
                <w:txbxContent>
                  <w:p>
                    <w:pPr>
                      <w:pStyle w:val="9"/>
                      <w:rPr>
                        <w:rFonts w:hint="eastAsia"/>
                      </w:rPr>
                    </w:pPr>
                    <w:r>
                      <w:rPr>
                        <w:rFonts w:hint="eastAsia"/>
                        <w:sz w:val="28"/>
                        <w:szCs w:val="40"/>
                      </w:rPr>
                      <w:fldChar w:fldCharType="begin"/>
                    </w:r>
                    <w:r>
                      <w:rPr>
                        <w:rFonts w:hint="eastAsia"/>
                        <w:sz w:val="28"/>
                        <w:szCs w:val="40"/>
                      </w:rPr>
                      <w:instrText xml:space="preserve"> PAGE  \* MERGEFORMAT </w:instrText>
                    </w:r>
                    <w:r>
                      <w:rPr>
                        <w:rFonts w:hint="eastAsia"/>
                        <w:sz w:val="28"/>
                        <w:szCs w:val="40"/>
                      </w:rPr>
                      <w:fldChar w:fldCharType="separate"/>
                    </w:r>
                    <w:r>
                      <w:rPr>
                        <w:rFonts w:hint="eastAsia"/>
                        <w:sz w:val="28"/>
                        <w:szCs w:val="40"/>
                      </w:rPr>
                      <w:t>- 1 -</w:t>
                    </w:r>
                    <w:r>
                      <w:rPr>
                        <w:rFonts w:hint="eastAsia"/>
                        <w:sz w:val="28"/>
                        <w:szCs w:val="40"/>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5293995</wp:posOffset>
              </wp:positionH>
              <wp:positionV relativeFrom="paragraph">
                <wp:posOffset>-14605</wp:posOffset>
              </wp:positionV>
              <wp:extent cx="270510" cy="162560"/>
              <wp:effectExtent l="0" t="0" r="0" b="0"/>
              <wp:wrapNone/>
              <wp:docPr id="1" name="文本框 5"/>
              <wp:cNvGraphicFramePr/>
              <a:graphic xmlns:a="http://schemas.openxmlformats.org/drawingml/2006/main">
                <a:graphicData uri="http://schemas.microsoft.com/office/word/2010/wordprocessingShape">
                  <wps:wsp>
                    <wps:cNvSpPr txBox="1"/>
                    <wps:spPr>
                      <a:xfrm>
                        <a:off x="0" y="0"/>
                        <a:ext cx="270510" cy="162560"/>
                      </a:xfrm>
                      <a:prstGeom prst="rect">
                        <a:avLst/>
                      </a:prstGeom>
                      <a:noFill/>
                      <a:ln>
                        <a:noFill/>
                      </a:ln>
                    </wps:spPr>
                    <wps:txbx>
                      <w:txbxContent>
                        <w:p>
                          <w:pPr>
                            <w:pStyle w:val="9"/>
                            <w:rPr>
                              <w:rFonts w:hint="eastAsia"/>
                            </w:rPr>
                          </w:pPr>
                        </w:p>
                      </w:txbxContent>
                    </wps:txbx>
                    <wps:bodyPr wrap="square" lIns="0" tIns="0" rIns="0" bIns="0" upright="0"/>
                  </wps:wsp>
                </a:graphicData>
              </a:graphic>
            </wp:anchor>
          </w:drawing>
        </mc:Choice>
        <mc:Fallback>
          <w:pict>
            <v:shape id="文本框 5" o:spid="_x0000_s1026" o:spt="202" type="#_x0000_t202" style="position:absolute;left:0pt;margin-left:416.85pt;margin-top:-1.15pt;height:12.8pt;width:21.3pt;mso-position-horizontal-relative:margin;z-index:251658240;mso-width-relative:page;mso-height-relative:page;" filled="f" stroked="f" coordsize="21600,21600" o:gfxdata="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tPo062QAAAAkBAAAP&#10;AAAAAAAAAAEAIAAAACIAAABkcnMvZG93bnJldi54bWxQSwECFAAUAAAACACHTuJAApUKSKUBAAAx&#10;AwAADgAAAAAAAAABACAAAAAoAQAAZHJzL2Uyb0RvYy54bWxQSwUGAAAAAAYABgBZAQAAPwUAAAAA&#10;">
              <v:fill on="f" focussize="0,0"/>
              <v:stroke on="f"/>
              <v:imagedata o:title=""/>
              <o:lock v:ext="edit" aspectratio="f"/>
              <v:textbox inset="0mm,0mm,0mm,0mm">
                <w:txbxContent>
                  <w:p>
                    <w:pPr>
                      <w:pStyle w:val="9"/>
                      <w:rPr>
                        <w:rFonts w:hint="eastAsi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1DE"/>
    <w:multiLevelType w:val="singleLevel"/>
    <w:tmpl w:val="079A51DE"/>
    <w:lvl w:ilvl="0" w:tentative="0">
      <w:start w:val="2"/>
      <w:numFmt w:val="decimal"/>
      <w:suff w:val="nothing"/>
      <w:lvlText w:val="%1、"/>
      <w:lvlJc w:val="left"/>
    </w:lvl>
  </w:abstractNum>
  <w:abstractNum w:abstractNumId="1">
    <w:nsid w:val="1F85D12A"/>
    <w:multiLevelType w:val="singleLevel"/>
    <w:tmpl w:val="1F85D12A"/>
    <w:lvl w:ilvl="0" w:tentative="0">
      <w:start w:val="1"/>
      <w:numFmt w:val="decimal"/>
      <w:suff w:val="nothing"/>
      <w:lvlText w:val="%1、"/>
      <w:lvlJc w:val="left"/>
    </w:lvl>
  </w:abstractNum>
  <w:abstractNum w:abstractNumId="2">
    <w:nsid w:val="21B64AB9"/>
    <w:multiLevelType w:val="singleLevel"/>
    <w:tmpl w:val="21B64AB9"/>
    <w:lvl w:ilvl="0" w:tentative="0">
      <w:start w:val="1"/>
      <w:numFmt w:val="decimal"/>
      <w:suff w:val="nothing"/>
      <w:lvlText w:val="%1、"/>
      <w:lvlJc w:val="left"/>
    </w:lvl>
  </w:abstractNum>
  <w:abstractNum w:abstractNumId="3">
    <w:nsid w:val="7760967C"/>
    <w:multiLevelType w:val="singleLevel"/>
    <w:tmpl w:val="7760967C"/>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0"/>
  <w:bordersDoNotSurroundFooter w:val="0"/>
  <w:documentProtection w:enforcement="0"/>
  <w:defaultTabStop w:val="720"/>
  <w:hyphenationZone w:val="360"/>
  <w:drawingGridHorizontalSpacing w:val="110"/>
  <w:displayHorizontalDrawingGridEvery w:val="1"/>
  <w:displayVerticalDrawingGridEvery w:val="1"/>
  <w:noPunctuationKerning w:val="1"/>
  <w:characterSpacingControl w:val="doNotCompress"/>
  <w:hdrShapeDefaults>
    <o:shapelayout v:ext="edit">
      <o:idmap v:ext="edit" data="1"/>
    </o:shapelayout>
  </w:hdrShapeDefaults>
  <w:compat>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wNDAyNDNlMjE2MDYxY2RkYTc5NGEwZTUxMzBmZTMifQ=="/>
  </w:docVars>
  <w:rsids>
    <w:rsidRoot w:val="00A60F6B"/>
    <w:rsid w:val="00086996"/>
    <w:rsid w:val="000A4FF3"/>
    <w:rsid w:val="00252186"/>
    <w:rsid w:val="002B1540"/>
    <w:rsid w:val="002C16B7"/>
    <w:rsid w:val="00377AA4"/>
    <w:rsid w:val="003E7D50"/>
    <w:rsid w:val="004B3F36"/>
    <w:rsid w:val="004F2AFF"/>
    <w:rsid w:val="005658F0"/>
    <w:rsid w:val="005B2932"/>
    <w:rsid w:val="005F447E"/>
    <w:rsid w:val="00630988"/>
    <w:rsid w:val="006B1F2F"/>
    <w:rsid w:val="006C2446"/>
    <w:rsid w:val="007B3E70"/>
    <w:rsid w:val="00891BC3"/>
    <w:rsid w:val="008A0571"/>
    <w:rsid w:val="00A3086C"/>
    <w:rsid w:val="00A56E07"/>
    <w:rsid w:val="00A60F6B"/>
    <w:rsid w:val="00AF381C"/>
    <w:rsid w:val="00BB79EC"/>
    <w:rsid w:val="00BD147B"/>
    <w:rsid w:val="00C5360E"/>
    <w:rsid w:val="00EA3BCC"/>
    <w:rsid w:val="00EE2D8C"/>
    <w:rsid w:val="00EF1946"/>
    <w:rsid w:val="00EF4284"/>
    <w:rsid w:val="022953B8"/>
    <w:rsid w:val="056F7EC6"/>
    <w:rsid w:val="06AA63FF"/>
    <w:rsid w:val="07FD70B7"/>
    <w:rsid w:val="0A3702CB"/>
    <w:rsid w:val="0BF614A6"/>
    <w:rsid w:val="0CD46F01"/>
    <w:rsid w:val="0ED30A45"/>
    <w:rsid w:val="137469D1"/>
    <w:rsid w:val="13A93707"/>
    <w:rsid w:val="153F14CB"/>
    <w:rsid w:val="19F404B3"/>
    <w:rsid w:val="1B4D17F0"/>
    <w:rsid w:val="1DB64E02"/>
    <w:rsid w:val="1F3158E4"/>
    <w:rsid w:val="201650A5"/>
    <w:rsid w:val="2140324E"/>
    <w:rsid w:val="21CF0236"/>
    <w:rsid w:val="28813A60"/>
    <w:rsid w:val="2A9E4B5F"/>
    <w:rsid w:val="2D425314"/>
    <w:rsid w:val="2F6332DB"/>
    <w:rsid w:val="31537FA2"/>
    <w:rsid w:val="345F0EB0"/>
    <w:rsid w:val="349B352C"/>
    <w:rsid w:val="34BF6AEE"/>
    <w:rsid w:val="34DA0673"/>
    <w:rsid w:val="39686E1B"/>
    <w:rsid w:val="39C34484"/>
    <w:rsid w:val="39C446AB"/>
    <w:rsid w:val="3A2064CC"/>
    <w:rsid w:val="41C03061"/>
    <w:rsid w:val="465028B1"/>
    <w:rsid w:val="492C3C09"/>
    <w:rsid w:val="4A116B48"/>
    <w:rsid w:val="4BC67F8E"/>
    <w:rsid w:val="513E2031"/>
    <w:rsid w:val="51B93BAF"/>
    <w:rsid w:val="52111B32"/>
    <w:rsid w:val="54C61C36"/>
    <w:rsid w:val="55776FFD"/>
    <w:rsid w:val="56575018"/>
    <w:rsid w:val="56757328"/>
    <w:rsid w:val="56B64701"/>
    <w:rsid w:val="598B02D8"/>
    <w:rsid w:val="599D7326"/>
    <w:rsid w:val="59BE65DB"/>
    <w:rsid w:val="5BDC2C57"/>
    <w:rsid w:val="5D9A1F24"/>
    <w:rsid w:val="5E543C45"/>
    <w:rsid w:val="603803CA"/>
    <w:rsid w:val="675619C5"/>
    <w:rsid w:val="67C23187"/>
    <w:rsid w:val="689D356F"/>
    <w:rsid w:val="6A9875FF"/>
    <w:rsid w:val="6B460A64"/>
    <w:rsid w:val="6FE65101"/>
    <w:rsid w:val="70327381"/>
    <w:rsid w:val="707E7A7C"/>
    <w:rsid w:val="71E40219"/>
    <w:rsid w:val="729B6884"/>
    <w:rsid w:val="776E2AD8"/>
    <w:rsid w:val="781B33B1"/>
    <w:rsid w:val="7853398C"/>
    <w:rsid w:val="78B07B3F"/>
    <w:rsid w:val="790B0A40"/>
    <w:rsid w:val="796827DA"/>
    <w:rsid w:val="79D765A9"/>
    <w:rsid w:val="7A8E758E"/>
    <w:rsid w:val="7B1E788E"/>
    <w:rsid w:val="7BEA7EC9"/>
    <w:rsid w:val="7D1F44DF"/>
    <w:rsid w:val="7D3D4717"/>
    <w:rsid w:val="7DB366BA"/>
    <w:rsid w:val="7DB528D4"/>
    <w:rsid w:val="7DBF44BE"/>
    <w:rsid w:val="7EAF69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link w:val="18"/>
    <w:qFormat/>
    <w:uiPriority w:val="1"/>
    <w:pPr>
      <w:spacing w:before="1"/>
      <w:ind w:left="4151" w:right="4193"/>
      <w:jc w:val="center"/>
      <w:outlineLvl w:val="0"/>
    </w:pPr>
    <w:rPr>
      <w:b/>
      <w:bCs/>
      <w:sz w:val="44"/>
      <w:szCs w:val="44"/>
    </w:rPr>
  </w:style>
  <w:style w:type="paragraph" w:styleId="4">
    <w:name w:val="heading 2"/>
    <w:basedOn w:val="1"/>
    <w:next w:val="1"/>
    <w:qFormat/>
    <w:uiPriority w:val="1"/>
    <w:pPr>
      <w:spacing w:before="11"/>
      <w:ind w:left="103" w:right="1684"/>
      <w:jc w:val="center"/>
      <w:outlineLvl w:val="1"/>
    </w:pPr>
    <w:rPr>
      <w:rFonts w:ascii="黑体" w:hAnsi="黑体" w:eastAsia="黑体" w:cs="黑体"/>
      <w:sz w:val="44"/>
      <w:szCs w:val="44"/>
    </w:rPr>
  </w:style>
  <w:style w:type="paragraph" w:styleId="2">
    <w:name w:val="heading 3"/>
    <w:basedOn w:val="1"/>
    <w:next w:val="1"/>
    <w:qFormat/>
    <w:uiPriority w:val="1"/>
    <w:pPr>
      <w:spacing w:before="32"/>
      <w:ind w:left="220"/>
      <w:outlineLvl w:val="2"/>
    </w:pPr>
    <w:rPr>
      <w:rFonts w:ascii="黑体" w:hAnsi="黑体" w:eastAsia="黑体" w:cs="黑体"/>
      <w:b/>
      <w:bCs/>
      <w:sz w:val="32"/>
      <w:szCs w:val="32"/>
    </w:rPr>
  </w:style>
  <w:style w:type="paragraph" w:styleId="5">
    <w:name w:val="heading 4"/>
    <w:basedOn w:val="1"/>
    <w:next w:val="1"/>
    <w:qFormat/>
    <w:uiPriority w:val="1"/>
    <w:pPr>
      <w:ind w:left="120"/>
      <w:outlineLvl w:val="3"/>
    </w:pPr>
    <w:rPr>
      <w:rFonts w:ascii="黑体" w:hAnsi="黑体" w:eastAsia="黑体" w:cs="黑体"/>
      <w:sz w:val="32"/>
      <w:szCs w:val="32"/>
    </w:rPr>
  </w:style>
  <w:style w:type="paragraph" w:styleId="6">
    <w:name w:val="heading 5"/>
    <w:basedOn w:val="1"/>
    <w:next w:val="1"/>
    <w:qFormat/>
    <w:uiPriority w:val="1"/>
    <w:pPr>
      <w:ind w:left="120"/>
      <w:outlineLvl w:val="4"/>
    </w:pPr>
    <w:rPr>
      <w:rFonts w:ascii="微软雅黑" w:hAnsi="微软雅黑" w:eastAsia="微软雅黑" w:cs="微软雅黑"/>
      <w:b/>
      <w:bCs/>
      <w:sz w:val="30"/>
      <w:szCs w:val="30"/>
    </w:rPr>
  </w:style>
  <w:style w:type="character" w:default="1" w:styleId="14">
    <w:name w:val="Default Paragraph Font"/>
    <w:unhideWhenUsed/>
    <w:qFormat/>
    <w:uiPriority w:val="1"/>
  </w:style>
  <w:style w:type="table" w:default="1" w:styleId="15">
    <w:name w:val="Normal Table"/>
    <w:unhideWhenUsed/>
    <w:qFormat/>
    <w:uiPriority w:val="99"/>
    <w:tblPr>
      <w:tblLayout w:type="fixed"/>
      <w:tblCellMar>
        <w:top w:w="0" w:type="dxa"/>
        <w:left w:w="108" w:type="dxa"/>
        <w:bottom w:w="0" w:type="dxa"/>
        <w:right w:w="108" w:type="dxa"/>
      </w:tblCellMar>
    </w:tblPr>
  </w:style>
  <w:style w:type="paragraph" w:styleId="7">
    <w:name w:val="Body Text"/>
    <w:basedOn w:val="1"/>
    <w:link w:val="19"/>
    <w:qFormat/>
    <w:uiPriority w:val="1"/>
    <w:rPr>
      <w:sz w:val="30"/>
      <w:szCs w:val="30"/>
    </w:rPr>
  </w:style>
  <w:style w:type="paragraph" w:styleId="8">
    <w:name w:val="Balloon Text"/>
    <w:basedOn w:val="1"/>
    <w:link w:val="20"/>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11">
    <w:name w:val="Subtitle"/>
    <w:basedOn w:val="2"/>
    <w:next w:val="1"/>
    <w:qFormat/>
    <w:uiPriority w:val="0"/>
    <w:pPr>
      <w:adjustRightInd w:val="0"/>
      <w:snapToGrid w:val="0"/>
      <w:spacing w:before="0" w:beforeLines="0" w:after="0" w:afterLines="0" w:line="560" w:lineRule="exact"/>
      <w:ind w:firstLine="640" w:firstLineChars="200"/>
      <w:jc w:val="left"/>
      <w:outlineLvl w:val="1"/>
    </w:pPr>
    <w:rPr>
      <w:rFonts w:ascii="等线 Light" w:hAnsi="等线 Light" w:eastAsia="仿宋_GB2312"/>
      <w:b w:val="0"/>
      <w:bCs w:val="0"/>
      <w:kern w:val="28"/>
    </w:r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3">
    <w:name w:val="Title"/>
    <w:basedOn w:val="4"/>
    <w:next w:val="1"/>
    <w:qFormat/>
    <w:uiPriority w:val="0"/>
    <w:pPr>
      <w:adjustRightInd w:val="0"/>
      <w:snapToGrid w:val="0"/>
      <w:spacing w:before="0" w:beforeLines="0" w:after="0" w:afterLines="0" w:line="240" w:lineRule="auto"/>
      <w:ind w:firstLine="643" w:firstLineChars="200"/>
      <w:jc w:val="left"/>
      <w:outlineLvl w:val="0"/>
    </w:pPr>
    <w:rPr>
      <w:rFonts w:eastAsia="仿宋_GB2312"/>
    </w:rPr>
  </w:style>
  <w:style w:type="paragraph" w:styleId="16">
    <w:name w:val="List Paragraph"/>
    <w:basedOn w:val="1"/>
    <w:qFormat/>
    <w:uiPriority w:val="1"/>
    <w:pPr>
      <w:ind w:left="1180" w:firstLine="600"/>
    </w:pPr>
  </w:style>
  <w:style w:type="paragraph" w:customStyle="1" w:styleId="17">
    <w:name w:val="Table Paragraph"/>
    <w:basedOn w:val="1"/>
    <w:qFormat/>
    <w:uiPriority w:val="1"/>
  </w:style>
  <w:style w:type="character" w:customStyle="1" w:styleId="18">
    <w:name w:val="标题 1 字符"/>
    <w:link w:val="3"/>
    <w:qFormat/>
    <w:uiPriority w:val="0"/>
    <w:rPr>
      <w:b/>
      <w:bCs/>
      <w:sz w:val="44"/>
      <w:szCs w:val="44"/>
    </w:rPr>
  </w:style>
  <w:style w:type="character" w:customStyle="1" w:styleId="19">
    <w:name w:val="正文文本 字符"/>
    <w:link w:val="7"/>
    <w:qFormat/>
    <w:uiPriority w:val="1"/>
    <w:rPr>
      <w:rFonts w:ascii="宋体" w:hAnsi="宋体" w:cs="宋体"/>
      <w:sz w:val="30"/>
      <w:szCs w:val="30"/>
      <w:lang w:val="zh-CN" w:bidi="zh-CN"/>
    </w:rPr>
  </w:style>
  <w:style w:type="character" w:customStyle="1" w:styleId="20">
    <w:name w:val="批注框文本 字符"/>
    <w:link w:val="8"/>
    <w:qFormat/>
    <w:uiPriority w:val="0"/>
    <w:rPr>
      <w:rFonts w:ascii="宋体" w:hAnsi="宋体" w:eastAsia="宋体" w:cs="宋体"/>
      <w:sz w:val="18"/>
      <w:szCs w:val="18"/>
      <w:lang w:val="zh-CN" w:bidi="zh-CN"/>
    </w:rPr>
  </w:style>
  <w:style w:type="character" w:customStyle="1" w:styleId="21">
    <w:name w:val="font11"/>
    <w:qFormat/>
    <w:uiPriority w:val="0"/>
    <w:rPr>
      <w:rFonts w:hint="eastAsia" w:ascii="仿宋_GB2312" w:eastAsia="仿宋_GB2312" w:cs="仿宋_GB2312"/>
      <w:color w:val="000000"/>
      <w:sz w:val="21"/>
      <w:szCs w:val="21"/>
      <w:u w:val="none"/>
    </w:rPr>
  </w:style>
  <w:style w:type="character" w:customStyle="1" w:styleId="22">
    <w:name w:val="font21"/>
    <w:qFormat/>
    <w:uiPriority w:val="0"/>
    <w:rPr>
      <w:rFonts w:hint="eastAsia" w:ascii="仿宋_GB2312" w:eastAsia="仿宋_GB2312" w:cs="仿宋_GB2312"/>
      <w:color w:val="000000"/>
      <w:sz w:val="22"/>
      <w:szCs w:val="22"/>
      <w:u w:val="none"/>
    </w:rPr>
  </w:style>
  <w:style w:type="character" w:customStyle="1" w:styleId="23">
    <w:name w:val="font41"/>
    <w:qFormat/>
    <w:uiPriority w:val="0"/>
    <w:rPr>
      <w:rFonts w:hint="eastAsia" w:ascii="仿宋_GB2312" w:eastAsia="仿宋_GB2312" w:cs="仿宋_GB2312"/>
      <w:color w:val="000000"/>
      <w:sz w:val="24"/>
      <w:szCs w:val="24"/>
      <w:u w:val="none"/>
    </w:rPr>
  </w:style>
  <w:style w:type="character" w:customStyle="1" w:styleId="24">
    <w:name w:val="font31"/>
    <w:qFormat/>
    <w:uiPriority w:val="0"/>
    <w:rPr>
      <w:rFonts w:hint="eastAsia" w:ascii="仿宋_GB2312" w:eastAsia="仿宋_GB2312" w:cs="仿宋_GB2312"/>
      <w:color w:val="000000"/>
      <w:sz w:val="24"/>
      <w:szCs w:val="24"/>
      <w:u w:val="none"/>
    </w:rPr>
  </w:style>
  <w:style w:type="table" w:customStyle="1" w:styleId="25">
    <w:name w:val="Table Normal"/>
    <w:unhideWhenUsed/>
    <w:qFormat/>
    <w:uiPriority w:val="2"/>
    <w:rPr>
      <w:lang w:val="en-US" w:eastAsia="zh-CN" w:bidi="ar-SA"/>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33</Pages>
  <Words>14844</Words>
  <Characters>15236</Characters>
  <Lines>112</Lines>
  <Paragraphs>31</Paragraphs>
  <TotalTime>1</TotalTime>
  <ScaleCrop>false</ScaleCrop>
  <LinksUpToDate>false</LinksUpToDate>
  <CharactersWithSpaces>16085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2021-04-16T10:55:00Z</dcterms:created>
  <dc:creator>Administrator</dc:creator>
  <cp:lastModifiedBy>Administrator</cp:lastModifiedBy>
  <cp:lastPrinted>2023-08-08T10:29:00Z</cp:lastPrinted>
  <dcterms:modified xsi:type="dcterms:W3CDTF">2023-11-15T02:34:27Z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WPS 文字</vt:lpwstr>
  </property>
  <property fmtid="{D5CDD505-2E9C-101B-9397-08002B2CF9AE}" pid="4" name="LastSaved">
    <vt:filetime>2021-04-16T00:00:00Z</vt:filetime>
  </property>
  <property fmtid="{D5CDD505-2E9C-101B-9397-08002B2CF9AE}" pid="5" name="KSOProductBuildVer">
    <vt:lpwstr>2052-11.8.2.8053</vt:lpwstr>
  </property>
  <property fmtid="{D5CDD505-2E9C-101B-9397-08002B2CF9AE}" pid="6" name="ICV">
    <vt:lpwstr>7E5DFCFA7622423C8944DC2281F4EAFC</vt:lpwstr>
  </property>
</Properties>
</file>