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2022年度述法报告</w:t>
      </w:r>
    </w:p>
    <w:p>
      <w:pPr>
        <w:pStyle w:val="2"/>
        <w:rPr>
          <w:rFonts w:hint="eastAsia"/>
          <w:sz w:val="2"/>
          <w:szCs w:val="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策勒县交通运输局党组副书记、局长   董强民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根据工作要求，现述法如下：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一、履职情况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（一）</w:t>
      </w:r>
      <w:r>
        <w:rPr>
          <w:rFonts w:hint="default" w:ascii="方正楷体_GB2312" w:hAnsi="方正楷体_GB2312" w:eastAsia="方正楷体_GB2312" w:cs="方正楷体_GB2312"/>
          <w:b/>
          <w:bCs/>
          <w:sz w:val="32"/>
          <w:szCs w:val="32"/>
        </w:rPr>
        <w:t>深入学习贯彻习近平法治思想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一是将《习近平法治思想学习纲要》、《民法典》、《中华人民共和国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宪法》等纳入党组中心组理论学习、主题党日、专题讲座、培训会等学习活动范围。二是积极推进干部网络学法，通过法宣在线、学习强国等网络平台全面学习习近平法治思想、党内法规等，在线参学率100%，法宣积分平均分达到5000分以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 xml:space="preserve">   （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eastAsia="zh-CN"/>
        </w:rPr>
        <w:t>二）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严格落实法治政府建设第一责任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进一步完善单位法治政府建设年度计划及工作方案，细化法治建设第一责任人职责，对法治建设亲自部署、亲自过问、重点环节亲自协调，将法治建设贯穿到交通运输行业建、管、养、运等全领域。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 xml:space="preserve">   （三）落实“三项制度”自觉接受监督。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做到执法全程记录、信息公开、法制审核，确保执法程序合法合规、适用法律准确、执法决定合法有效。全面推进服务质量、价格收费、承诺事项，服务监督电话等公开公示，充分利用12328监督服务电话，接受全社会监督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2022年以来</w:t>
      </w:r>
      <w:r>
        <w:rPr>
          <w:rFonts w:hint="eastAsia" w:ascii="仿宋" w:hAnsi="仿宋" w:eastAsia="仿宋" w:cs="仿宋"/>
          <w:sz w:val="28"/>
          <w:szCs w:val="28"/>
        </w:rPr>
        <w:t>我局共开展路政巡查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93次，开展</w:t>
      </w:r>
      <w:r>
        <w:rPr>
          <w:rFonts w:hint="eastAsia" w:ascii="仿宋" w:hAnsi="仿宋" w:cs="仿宋"/>
          <w:sz w:val="28"/>
          <w:szCs w:val="28"/>
          <w:lang w:eastAsia="zh-CN"/>
        </w:rPr>
        <w:t>行政</w:t>
      </w:r>
      <w:r>
        <w:rPr>
          <w:rFonts w:hint="eastAsia" w:ascii="仿宋" w:hAnsi="仿宋" w:eastAsia="仿宋" w:cs="仿宋"/>
          <w:sz w:val="28"/>
          <w:szCs w:val="28"/>
        </w:rPr>
        <w:t>检查172次，排查各类车辆285台；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纠正各类违规行为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392次、</w:t>
      </w:r>
      <w:r>
        <w:rPr>
          <w:rFonts w:hint="eastAsia" w:ascii="仿宋" w:hAnsi="仿宋" w:eastAsia="仿宋" w:cs="仿宋"/>
          <w:sz w:val="28"/>
          <w:szCs w:val="28"/>
        </w:rPr>
        <w:t>查处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各类违法行</w:t>
      </w:r>
      <w:r>
        <w:rPr>
          <w:rFonts w:hint="eastAsia" w:ascii="仿宋" w:hAnsi="仿宋" w:eastAsia="仿宋" w:cs="仿宋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33</w:t>
      </w:r>
      <w:r>
        <w:rPr>
          <w:rFonts w:hint="eastAsia" w:ascii="仿宋" w:hAnsi="仿宋" w:eastAsia="仿宋" w:cs="仿宋"/>
          <w:sz w:val="28"/>
          <w:szCs w:val="28"/>
        </w:rPr>
        <w:t>起，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查处非法营运行为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5起，比起上年度</w:t>
      </w:r>
      <w:r>
        <w:rPr>
          <w:rFonts w:hint="eastAsia" w:ascii="仿宋" w:hAnsi="仿宋" w:eastAsia="仿宋" w:cs="仿宋"/>
          <w:sz w:val="28"/>
          <w:szCs w:val="28"/>
        </w:rPr>
        <w:t>综合执法成效大幅提升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，未发生行政诉讼，行政复议案件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  <w:t>（四）深入推进交通领域“放管服”改革。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组织梳理编制了权责清单，并将全部权责事项在新疆政务服务网事项管理平台上公示和执行，简化交通审批事项流程，2022年取消交通运输行政处罚事项13项、下调处罚额度18项，简化行政审批事项2项。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  <w:t>（五）严格落实依法决策机制。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一是重大事项、案件及建设项目事前充分征求意见，集体讨论决策。二是健全相关重大行政决策制度，确保重大决策、案件法律依据正确、证据充分、程序合法、处罚适当。三是项目建设、采购等均按要求按程序进行招投标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  <w:t>（六）狠抓普法宣传工作。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严格落实“八五”普法规划，按照“谁执法，谁普法”的要求，积极组织开展“12.4”宪法宣传日等活动。2022年共组织集中宣讲17场次，培训2000余人次，张贴宣传横幅标语100余条，发放宣传单1280份。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二、存在的问题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（一）法治学习有待加强。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深入学习习近平法治思想有差距，主要是学习不够全面、系统、完整，学习的自觉性、主动性不强，学习效果不佳。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（二）履行第一责任人职责有差距。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对班子法治建设强调多，督导力度小，压力层层递减，致使班子法治建设工作中落实带头上不到位。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  <w:t>（三）执法程序需进一步规范。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存在执法程序不严、执法文书不严谨、执法行为不够规范、执法人员综合能力高。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  <w:t>（四）普法宣传需要创新。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普法宣传培训形式单一，宣传效果不明显，系统内从业人员对交通法律法规的知晓度不高。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三、下一步工作打算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（一）持续强化法治思想教育学习力度。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一是落实领导带头学法全员学法制度,把习近平法治学习作为一项重要的工作来抓，提高执法人掌握及运用法律知识,依法行政能力。二是组织执法人员开展网络学习活动,认真学习宪法、民法典等法律法规知识。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（二）完善问责机制，强化责任落实。严格落实执法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工作人员规范，与全体党员干部签订《目标考核责任书》，要求党员干部做出承诺，工作主动作为，主动发现问题线索，强化执法工作力度，对出现问题实行责任倒查，依纪依法进行严格问责。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（三）落实三项制度，推进执法规范化</w:t>
      </w:r>
      <w:r>
        <w:rPr>
          <w:rFonts w:hint="eastAsia" w:ascii="方正楷体_GB2312" w:hAnsi="方正楷体_GB2312" w:eastAsia="方正楷体_GB2312" w:cs="方正楷体_GB2312"/>
          <w:b/>
          <w:bCs/>
          <w:kern w:val="2"/>
          <w:sz w:val="32"/>
          <w:szCs w:val="32"/>
          <w:lang w:val="en-US" w:eastAsia="zh-CN" w:bidi="ar-SA"/>
        </w:rPr>
        <w:t>。严格落实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执法全程记录、信息公开、法制审核制度，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全面强化执法人员素质建设教育，提高执法办案能力和水平，切实解决道路运输市场监管中执法不严、不规范问题。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（四）加大法治建设宣传教育力度</w:t>
      </w: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针对交通运输工作政策性强、涉及面广的实际，大力开展制度化、常态化、以法治宣传教育活动为载体，从基础实际出发，从薄弱环节、关键部位入手，落实“谁执法谁普法”责任制，创新普法工作机制，丰富普法教育内容，增强法治宣传教育活动的多样性，针对性、实效性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 w:firstLine="4480" w:firstLineChars="14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2023年2月2日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NmUzY2Q2NDMyZmY2YjI5OTIxODI3ZGJiNzk4NjIifQ=="/>
  </w:docVars>
  <w:rsids>
    <w:rsidRoot w:val="74C43B73"/>
    <w:rsid w:val="09215687"/>
    <w:rsid w:val="0B0B0A2A"/>
    <w:rsid w:val="134907E6"/>
    <w:rsid w:val="13B25254"/>
    <w:rsid w:val="1C887DA3"/>
    <w:rsid w:val="1E414EAF"/>
    <w:rsid w:val="25C63841"/>
    <w:rsid w:val="27766538"/>
    <w:rsid w:val="2D040E66"/>
    <w:rsid w:val="4B234674"/>
    <w:rsid w:val="4DDF11D3"/>
    <w:rsid w:val="59EC2C38"/>
    <w:rsid w:val="5A67147B"/>
    <w:rsid w:val="5A8A441A"/>
    <w:rsid w:val="5ACC1A03"/>
    <w:rsid w:val="5D926BF9"/>
    <w:rsid w:val="6AFB5CFC"/>
    <w:rsid w:val="72155DC4"/>
    <w:rsid w:val="74C43B73"/>
    <w:rsid w:val="75FC6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仿宋_GB2312" w:cs="Times New Roman"/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黑体"/>
      <w:b/>
      <w:sz w:val="30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华文中宋" w:hAnsi="华文中宋" w:eastAsia="华文中宋" w:cs="Times New Roman"/>
      <w:color w:val="000000"/>
      <w:sz w:val="24"/>
      <w:szCs w:val="22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1659</Words>
  <Characters>1699</Characters>
  <Lines>0</Lines>
  <Paragraphs>0</Paragraphs>
  <TotalTime>11</TotalTime>
  <ScaleCrop>false</ScaleCrop>
  <LinksUpToDate>false</LinksUpToDate>
  <CharactersWithSpaces>1723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2023-02-01T09:15:00Z</dcterms:created>
  <dc:creator>__『E°』</dc:creator>
  <cp:lastModifiedBy>Administrator</cp:lastModifiedBy>
  <cp:lastPrinted>2023-02-02T12:21:00Z</cp:lastPrinted>
  <dcterms:modified xsi:type="dcterms:W3CDTF">2023-04-21T10:34:11Z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817C778F57AD4C4C9B178D572CDFC820</vt:lpwstr>
  </property>
</Properties>
</file>