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方正小标宋简体" w:cs="Times New Roman"/>
          <w:b/>
          <w:bCs/>
          <w:color w:val="FF0000"/>
          <w:sz w:val="64"/>
          <w:szCs w:val="64"/>
          <w:lang w:val="en-US" w:eastAsia="zh-CN"/>
        </w:rPr>
      </w:pPr>
      <w:r>
        <w:rPr>
          <w:rFonts w:hint="default" w:ascii="Times New Roman" w:hAnsi="Times New Roman" w:eastAsia="方正小标宋简体" w:cs="Times New Roman"/>
          <w:b/>
          <w:bCs/>
          <w:color w:val="FF0000"/>
          <w:sz w:val="64"/>
          <w:szCs w:val="64"/>
          <w:lang w:val="en-US" w:eastAsia="zh-CN"/>
        </w:rPr>
        <w:t>策 勒 县 财  政 局</w:t>
      </w:r>
    </w:p>
    <w:p>
      <w:pPr>
        <w:rPr>
          <w:rFonts w:hint="default" w:ascii="Times New Roman" w:hAnsi="Times New Roman" w:eastAsia="方正小标宋简体" w:cs="Times New Roman"/>
          <w:b/>
          <w:bCs/>
          <w:color w:val="FF0000"/>
          <w:sz w:val="64"/>
          <w:szCs w:val="64"/>
          <w:lang w:val="en-US" w:eastAsia="zh-CN"/>
        </w:rPr>
      </w:pPr>
      <w:r>
        <w:rPr>
          <w:rFonts w:hint="default" w:ascii="Times New Roman" w:hAnsi="Times New Roman" w:eastAsia="方正小标宋简体" w:cs="Times New Roman"/>
          <w:b/>
          <w:bCs/>
          <w:color w:val="FF0000"/>
          <w:sz w:val="64"/>
          <w:szCs w:val="64"/>
          <w:lang w:val="en-US" w:eastAsia="zh-CN"/>
        </w:rPr>
        <w:t xml:space="preserve">                    文 件</w:t>
      </w:r>
    </w:p>
    <w:p>
      <w:pPr>
        <w:rPr>
          <w:rFonts w:hint="default" w:ascii="Times New Roman" w:hAnsi="Times New Roman" w:eastAsia="方正小标宋简体" w:cs="Times New Roman"/>
          <w:b/>
          <w:bCs/>
          <w:color w:val="FF0000"/>
          <w:spacing w:val="57"/>
          <w:sz w:val="64"/>
          <w:szCs w:val="64"/>
          <w:lang w:val="en-US" w:eastAsia="zh-CN"/>
        </w:rPr>
      </w:pPr>
      <w:r>
        <w:rPr>
          <w:rFonts w:hint="default" w:ascii="Times New Roman" w:hAnsi="Times New Roman" w:eastAsia="方正小标宋简体" w:cs="Times New Roman"/>
          <w:b/>
          <w:bCs/>
          <w:color w:val="FF0000"/>
          <w:spacing w:val="57"/>
          <w:sz w:val="64"/>
          <w:szCs w:val="64"/>
          <w:lang w:val="en-US" w:eastAsia="zh-CN"/>
        </w:rPr>
        <w:t>策勒县乡村振兴局</w:t>
      </w:r>
    </w:p>
    <w:p>
      <w:pPr>
        <w:keepNext w:val="0"/>
        <w:keepLines w:val="0"/>
        <w:pageBreakBefore w:val="0"/>
        <w:widowControl w:val="0"/>
        <w:kinsoku/>
        <w:wordWrap/>
        <w:overflowPunct/>
        <w:topLinePunct w:val="0"/>
        <w:autoSpaceDE/>
        <w:autoSpaceDN/>
        <w:bidi w:val="0"/>
        <w:adjustRightInd/>
        <w:snapToGrid/>
        <w:spacing w:line="400" w:lineRule="exact"/>
        <w:ind w:firstLine="883" w:firstLineChars="200"/>
        <w:textAlignment w:val="auto"/>
        <w:rPr>
          <w:rFonts w:hint="default" w:ascii="Times New Roman" w:hAnsi="Times New Roman" w:eastAsia="方正小标宋简体" w:cs="Times New Roman"/>
          <w:b/>
          <w:bCs/>
          <w:color w:val="FF000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策财兴〔2024〕</w:t>
      </w:r>
      <w:r>
        <w:rPr>
          <w:rFonts w:hint="eastAsia" w:eastAsia="仿宋_GB2312" w:cs="Times New Roman"/>
          <w:b w:val="0"/>
          <w:bCs w:val="0"/>
          <w:color w:val="auto"/>
          <w:sz w:val="32"/>
          <w:szCs w:val="32"/>
          <w:lang w:val="en-US" w:eastAsia="zh-CN"/>
        </w:rPr>
        <w:t>3</w:t>
      </w:r>
      <w:r>
        <w:rPr>
          <w:rFonts w:hint="default" w:ascii="Times New Roman" w:hAnsi="Times New Roman" w:eastAsia="仿宋_GB2312" w:cs="Times New Roman"/>
          <w:b w:val="0"/>
          <w:bCs w:val="0"/>
          <w:color w:val="auto"/>
          <w:sz w:val="32"/>
          <w:szCs w:val="32"/>
          <w:lang w:val="en-US" w:eastAsia="zh-CN"/>
        </w:rPr>
        <w:t>号</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小标宋简体" w:cs="Times New Roman"/>
          <w:b/>
          <w:bCs/>
          <w:color w:val="FF0000"/>
          <w:sz w:val="44"/>
          <w:szCs w:val="44"/>
          <w:u w:val="none"/>
          <w:lang w:val="en-US" w:eastAsia="zh-CN"/>
        </w:rPr>
      </w:pPr>
      <w:r>
        <w:rPr>
          <w:rFonts w:hint="default" w:ascii="Times New Roman" w:hAnsi="Times New Roman" w:eastAsia="方正小标宋简体" w:cs="Times New Roman"/>
          <w:b/>
          <w:bCs/>
          <w:color w:val="FF0000"/>
          <w:sz w:val="112"/>
          <w:szCs w:val="112"/>
          <w:u w:val="single"/>
          <w:lang w:val="en-US" w:eastAsia="zh-CN"/>
        </w:rPr>
        <w:t xml:space="preserve">              </w:t>
      </w:r>
      <w:r>
        <w:rPr>
          <w:rFonts w:hint="default" w:ascii="Times New Roman" w:hAnsi="Times New Roman" w:eastAsia="方正小标宋简体" w:cs="Times New Roman"/>
          <w:b/>
          <w:bCs/>
          <w:color w:val="FF0000"/>
          <w:sz w:val="56"/>
          <w:szCs w:val="56"/>
          <w:u w:val="single"/>
          <w:lang w:val="en-US" w:eastAsia="zh-CN"/>
        </w:rPr>
        <w:t xml:space="preserve"> </w:t>
      </w:r>
      <w:r>
        <w:rPr>
          <w:rFonts w:hint="default" w:ascii="Times New Roman" w:hAnsi="Times New Roman" w:eastAsia="方正小标宋简体" w:cs="Times New Roman"/>
          <w:b/>
          <w:bCs/>
          <w:color w:val="FF0000"/>
          <w:sz w:val="112"/>
          <w:szCs w:val="112"/>
          <w:u w:val="single"/>
          <w:lang w:val="en-US" w:eastAsia="zh-CN"/>
        </w:rPr>
        <w:t xml:space="preserve">                     </w:t>
      </w:r>
      <w:r>
        <w:rPr>
          <w:rFonts w:hint="default" w:ascii="Times New Roman" w:hAnsi="Times New Roman" w:eastAsia="方正小标宋简体" w:cs="Times New Roman"/>
          <w:b/>
          <w:bCs/>
          <w:color w:val="FF0000"/>
          <w:sz w:val="44"/>
          <w:szCs w:val="44"/>
          <w:u w:val="none"/>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b w:val="0"/>
          <w:bCs w:val="0"/>
          <w:color w:val="FF0000"/>
          <w:sz w:val="32"/>
          <w:szCs w:val="32"/>
          <w:lang w:val="en-US" w:eastAsia="zh-CN"/>
        </w:rPr>
      </w:pPr>
      <w:r>
        <w:rPr>
          <w:rFonts w:hint="default" w:ascii="Times New Roman" w:hAnsi="Times New Roman" w:eastAsia="仿宋_GB2312" w:cs="Times New Roman"/>
          <w:b w:val="0"/>
          <w:bCs w:val="0"/>
          <w:color w:val="FF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cs="Times New Roman"/>
          <w:color w:val="auto"/>
        </w:rPr>
      </w:pPr>
      <w:r>
        <w:rPr>
          <w:rFonts w:hint="default" w:ascii="Times New Roman" w:hAnsi="Times New Roman" w:eastAsia="方正小标宋简体" w:cs="Times New Roman"/>
          <w:color w:val="auto"/>
          <w:sz w:val="44"/>
          <w:szCs w:val="44"/>
          <w:lang w:val="en-US" w:eastAsia="zh-CN"/>
        </w:rPr>
        <w:t>关于下达2024年自治区财政衔接推进乡村振兴补助资金</w:t>
      </w:r>
      <w:r>
        <w:rPr>
          <w:rFonts w:hint="eastAsia" w:eastAsia="方正小标宋简体" w:cs="Times New Roman"/>
          <w:color w:val="auto"/>
          <w:sz w:val="44"/>
          <w:szCs w:val="44"/>
          <w:lang w:val="en-US" w:eastAsia="zh-CN"/>
        </w:rPr>
        <w:t>《</w:t>
      </w:r>
      <w:r>
        <w:rPr>
          <w:rFonts w:hint="default" w:ascii="Times New Roman" w:hAnsi="Times New Roman" w:eastAsia="方正小标宋简体" w:cs="Times New Roman"/>
          <w:color w:val="auto"/>
          <w:sz w:val="44"/>
          <w:szCs w:val="44"/>
          <w:lang w:val="en-US" w:eastAsia="zh-CN"/>
        </w:rPr>
        <w:t>巩固拓展脱贫攻坚成果和乡村振兴任务</w:t>
      </w:r>
      <w:r>
        <w:rPr>
          <w:rFonts w:hint="eastAsia" w:eastAsia="方正小标宋简体" w:cs="Times New Roman"/>
          <w:color w:val="auto"/>
          <w:sz w:val="44"/>
          <w:szCs w:val="44"/>
          <w:lang w:val="en-US" w:eastAsia="zh-CN"/>
        </w:rPr>
        <w:t>》</w:t>
      </w:r>
      <w:r>
        <w:rPr>
          <w:rFonts w:hint="default" w:ascii="Times New Roman" w:hAnsi="Times New Roman" w:eastAsia="方正小标宋简体" w:cs="Times New Roman"/>
          <w:color w:val="auto"/>
          <w:sz w:val="44"/>
          <w:szCs w:val="44"/>
          <w:lang w:val="en-US" w:eastAsia="zh-CN"/>
        </w:rPr>
        <w:t>预算的通知</w:t>
      </w:r>
    </w:p>
    <w:p>
      <w:pPr>
        <w:keepNext w:val="0"/>
        <w:keepLines w:val="0"/>
        <w:pageBreakBefore w:val="0"/>
        <w:widowControl w:val="0"/>
        <w:kinsoku/>
        <w:wordWrap/>
        <w:overflowPunct/>
        <w:topLinePunct w:val="0"/>
        <w:autoSpaceDE/>
        <w:autoSpaceDN/>
        <w:bidi w:val="0"/>
        <w:adjustRightInd/>
        <w:snapToGrid/>
        <w:spacing w:before="313" w:beforeLines="100" w:line="560" w:lineRule="exact"/>
        <w:textAlignment w:val="auto"/>
        <w:rPr>
          <w:rFonts w:hint="eastAsia" w:ascii="方正楷体简体" w:hAnsi="方正楷体简体" w:eastAsia="方正楷体简体" w:cs="方正楷体简体"/>
          <w:b w:val="0"/>
          <w:bCs w:val="0"/>
          <w:color w:val="auto"/>
          <w:sz w:val="32"/>
          <w:szCs w:val="32"/>
          <w:lang w:val="en-US" w:eastAsia="zh-CN"/>
        </w:rPr>
      </w:pPr>
      <w:r>
        <w:rPr>
          <w:rFonts w:hint="eastAsia" w:ascii="方正楷体简体" w:hAnsi="方正楷体简体" w:eastAsia="方正楷体简体" w:cs="方正楷体简体"/>
          <w:b w:val="0"/>
          <w:bCs w:val="0"/>
          <w:color w:val="auto"/>
          <w:sz w:val="32"/>
          <w:szCs w:val="32"/>
          <w:lang w:val="en-US" w:eastAsia="zh-CN"/>
        </w:rPr>
        <w:t>各项目单位：</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rPr>
        <w:t>根据</w:t>
      </w:r>
      <w:r>
        <w:rPr>
          <w:rFonts w:hint="eastAsia" w:ascii="方正仿宋简体" w:hAnsi="方正仿宋简体" w:eastAsia="方正仿宋简体" w:cs="方正仿宋简体"/>
          <w:color w:val="auto"/>
          <w:sz w:val="32"/>
          <w:szCs w:val="32"/>
          <w:lang w:eastAsia="zh-CN"/>
        </w:rPr>
        <w:t>中央和自治区关于巩固拓展脱贫攻坚成果同乡村振兴有效衔接的决策部署，为推进我县巩固衔接工作稳步开展，根据</w:t>
      </w:r>
      <w:r>
        <w:rPr>
          <w:rFonts w:hint="eastAsia" w:ascii="方正仿宋简体" w:hAnsi="方正仿宋简体" w:eastAsia="方正仿宋简体" w:cs="方正仿宋简体"/>
          <w:color w:val="auto"/>
          <w:sz w:val="32"/>
          <w:szCs w:val="32"/>
        </w:rPr>
        <w:t>《</w:t>
      </w:r>
      <w:r>
        <w:rPr>
          <w:rFonts w:hint="eastAsia" w:ascii="方正仿宋简体" w:hAnsi="方正仿宋简体" w:eastAsia="方正仿宋简体" w:cs="方正仿宋简体"/>
          <w:color w:val="auto"/>
          <w:sz w:val="32"/>
          <w:szCs w:val="32"/>
          <w:lang w:val="en-US" w:eastAsia="zh-CN"/>
        </w:rPr>
        <w:t>关于下达</w:t>
      </w:r>
      <w:r>
        <w:rPr>
          <w:rFonts w:hint="default" w:ascii="Times New Roman" w:hAnsi="Times New Roman" w:eastAsia="方正仿宋简体" w:cs="Times New Roman"/>
          <w:color w:val="auto"/>
          <w:sz w:val="32"/>
          <w:szCs w:val="32"/>
          <w:lang w:val="en-US" w:eastAsia="zh-CN"/>
        </w:rPr>
        <w:t>2024</w:t>
      </w:r>
      <w:r>
        <w:rPr>
          <w:rFonts w:hint="eastAsia" w:ascii="方正仿宋简体" w:hAnsi="方正仿宋简体" w:eastAsia="方正仿宋简体" w:cs="方正仿宋简体"/>
          <w:color w:val="auto"/>
          <w:sz w:val="32"/>
          <w:szCs w:val="32"/>
          <w:lang w:val="en-US" w:eastAsia="zh-CN"/>
        </w:rPr>
        <w:t>年自治区财政衔接推进乡村振兴补助资金</w:t>
      </w:r>
      <w:r>
        <w:rPr>
          <w:rFonts w:hint="eastAsia" w:ascii="宋体" w:hAnsi="宋体" w:eastAsia="宋体" w:cs="宋体"/>
          <w:color w:val="auto"/>
          <w:sz w:val="32"/>
          <w:szCs w:val="32"/>
          <w:lang w:val="en-US" w:eastAsia="zh-CN"/>
        </w:rPr>
        <w:t>&lt;</w:t>
      </w:r>
      <w:r>
        <w:rPr>
          <w:rFonts w:hint="eastAsia" w:ascii="方正仿宋简体" w:hAnsi="方正仿宋简体" w:eastAsia="方正仿宋简体" w:cs="方正仿宋简体"/>
          <w:color w:val="auto"/>
          <w:sz w:val="32"/>
          <w:szCs w:val="32"/>
          <w:lang w:val="en-US" w:eastAsia="zh-CN"/>
        </w:rPr>
        <w:t>巩固拓展脱贫攻坚成果和乡村振兴任务</w:t>
      </w:r>
      <w:r>
        <w:rPr>
          <w:rFonts w:hint="eastAsia" w:ascii="宋体" w:hAnsi="宋体" w:eastAsia="宋体" w:cs="宋体"/>
          <w:color w:val="auto"/>
          <w:sz w:val="32"/>
          <w:szCs w:val="32"/>
          <w:lang w:val="en-US" w:eastAsia="zh-CN"/>
        </w:rPr>
        <w:t>&gt;</w:t>
      </w:r>
      <w:r>
        <w:rPr>
          <w:rFonts w:hint="eastAsia" w:ascii="方正仿宋简体" w:hAnsi="方正仿宋简体" w:eastAsia="方正仿宋简体" w:cs="方正仿宋简体"/>
          <w:color w:val="auto"/>
          <w:sz w:val="32"/>
          <w:szCs w:val="32"/>
          <w:lang w:val="en-US" w:eastAsia="zh-CN"/>
        </w:rPr>
        <w:t>预算的通知</w:t>
      </w:r>
      <w:r>
        <w:rPr>
          <w:rFonts w:hint="eastAsia" w:ascii="方正仿宋简体" w:hAnsi="方正仿宋简体" w:eastAsia="方正仿宋简体" w:cs="方正仿宋简体"/>
          <w:color w:val="auto"/>
          <w:sz w:val="32"/>
          <w:szCs w:val="32"/>
        </w:rPr>
        <w:t>》（</w:t>
      </w:r>
      <w:r>
        <w:rPr>
          <w:rFonts w:hint="eastAsia" w:ascii="方正仿宋简体" w:hAnsi="方正仿宋简体" w:eastAsia="方正仿宋简体" w:cs="方正仿宋简体"/>
          <w:color w:val="auto"/>
          <w:kern w:val="0"/>
          <w:sz w:val="32"/>
          <w:szCs w:val="32"/>
          <w:lang w:val="en-US" w:eastAsia="zh-CN" w:bidi="ar"/>
        </w:rPr>
        <w:t>和地财农〔</w:t>
      </w:r>
      <w:r>
        <w:rPr>
          <w:rFonts w:hint="default" w:ascii="Times New Roman" w:hAnsi="Times New Roman" w:eastAsia="方正仿宋简体" w:cs="Times New Roman"/>
          <w:color w:val="auto"/>
          <w:kern w:val="0"/>
          <w:sz w:val="32"/>
          <w:szCs w:val="32"/>
          <w:lang w:val="en-US" w:eastAsia="zh-CN" w:bidi="ar"/>
        </w:rPr>
        <w:t>2024</w:t>
      </w:r>
      <w:r>
        <w:rPr>
          <w:rFonts w:hint="eastAsia" w:ascii="方正仿宋简体" w:hAnsi="方正仿宋简体" w:eastAsia="方正仿宋简体" w:cs="方正仿宋简体"/>
          <w:color w:val="auto"/>
          <w:kern w:val="0"/>
          <w:sz w:val="32"/>
          <w:szCs w:val="32"/>
          <w:lang w:val="en-US" w:eastAsia="zh-CN" w:bidi="ar"/>
        </w:rPr>
        <w:t>〕</w:t>
      </w:r>
      <w:r>
        <w:rPr>
          <w:rFonts w:hint="default" w:ascii="Times New Roman" w:hAnsi="Times New Roman" w:eastAsia="方正仿宋简体" w:cs="Times New Roman"/>
          <w:color w:val="auto"/>
          <w:kern w:val="0"/>
          <w:sz w:val="32"/>
          <w:szCs w:val="32"/>
          <w:lang w:val="en-US" w:eastAsia="zh-CN" w:bidi="ar"/>
        </w:rPr>
        <w:t>4</w:t>
      </w:r>
      <w:r>
        <w:rPr>
          <w:rFonts w:hint="eastAsia" w:ascii="方正仿宋简体" w:hAnsi="方正仿宋简体" w:eastAsia="方正仿宋简体" w:cs="方正仿宋简体"/>
          <w:color w:val="auto"/>
          <w:kern w:val="0"/>
          <w:sz w:val="32"/>
          <w:szCs w:val="32"/>
          <w:lang w:val="en-US" w:eastAsia="zh-CN" w:bidi="ar"/>
        </w:rPr>
        <w:t>号</w:t>
      </w:r>
      <w:r>
        <w:rPr>
          <w:rFonts w:hint="eastAsia" w:ascii="方正仿宋简体" w:hAnsi="方正仿宋简体" w:eastAsia="方正仿宋简体" w:cs="方正仿宋简体"/>
          <w:color w:val="auto"/>
          <w:sz w:val="32"/>
          <w:szCs w:val="32"/>
        </w:rPr>
        <w:t>）（以下简称衔接资金）</w:t>
      </w:r>
      <w:r>
        <w:rPr>
          <w:rFonts w:hint="eastAsia" w:ascii="方正仿宋简体" w:hAnsi="方正仿宋简体" w:eastAsia="方正仿宋简体" w:cs="方正仿宋简体"/>
          <w:color w:val="auto"/>
          <w:sz w:val="32"/>
          <w:szCs w:val="32"/>
          <w:lang w:val="en-US" w:eastAsia="zh-CN"/>
        </w:rPr>
        <w:t>，</w:t>
      </w:r>
      <w:r>
        <w:rPr>
          <w:rFonts w:hint="eastAsia" w:ascii="方正仿宋简体" w:hAnsi="方正仿宋简体" w:eastAsia="方正仿宋简体" w:cs="方正仿宋简体"/>
          <w:color w:val="auto"/>
          <w:sz w:val="32"/>
          <w:szCs w:val="32"/>
        </w:rPr>
        <w:t>现下达你</w:t>
      </w:r>
      <w:r>
        <w:rPr>
          <w:rFonts w:hint="eastAsia" w:ascii="方正仿宋简体" w:hAnsi="方正仿宋简体" w:eastAsia="方正仿宋简体" w:cs="方正仿宋简体"/>
          <w:color w:val="auto"/>
          <w:sz w:val="32"/>
          <w:szCs w:val="32"/>
          <w:lang w:val="en-US" w:eastAsia="zh-CN"/>
        </w:rPr>
        <w:t>单位</w:t>
      </w:r>
      <w:r>
        <w:rPr>
          <w:rFonts w:hint="default" w:ascii="Times New Roman" w:hAnsi="Times New Roman" w:eastAsia="方正仿宋简体" w:cs="Times New Roman"/>
          <w:color w:val="auto"/>
          <w:sz w:val="32"/>
          <w:szCs w:val="32"/>
        </w:rPr>
        <w:t>202</w:t>
      </w:r>
      <w:r>
        <w:rPr>
          <w:rFonts w:hint="default" w:ascii="Times New Roman" w:hAnsi="Times New Roman" w:eastAsia="方正仿宋简体" w:cs="Times New Roman"/>
          <w:color w:val="auto"/>
          <w:sz w:val="32"/>
          <w:szCs w:val="32"/>
          <w:lang w:val="en-US" w:eastAsia="zh-CN"/>
        </w:rPr>
        <w:t>4</w:t>
      </w:r>
      <w:r>
        <w:rPr>
          <w:rFonts w:hint="eastAsia" w:ascii="方正仿宋简体" w:hAnsi="方正仿宋简体" w:eastAsia="方正仿宋简体" w:cs="方正仿宋简体"/>
          <w:color w:val="auto"/>
          <w:sz w:val="32"/>
          <w:szCs w:val="32"/>
          <w:lang w:val="en-US" w:eastAsia="zh-CN"/>
        </w:rPr>
        <w:t>年</w:t>
      </w:r>
      <w:r>
        <w:rPr>
          <w:rFonts w:hint="eastAsia" w:ascii="方正仿宋简体" w:hAnsi="方正仿宋简体" w:eastAsia="方正仿宋简体" w:cs="方正仿宋简体"/>
          <w:color w:val="auto"/>
          <w:sz w:val="32"/>
          <w:szCs w:val="32"/>
          <w:lang w:eastAsia="zh-CN"/>
        </w:rPr>
        <w:t>自治区</w:t>
      </w:r>
      <w:r>
        <w:rPr>
          <w:rFonts w:hint="eastAsia" w:ascii="方正仿宋简体" w:hAnsi="方正仿宋简体" w:eastAsia="方正仿宋简体" w:cs="方正仿宋简体"/>
          <w:color w:val="auto"/>
          <w:sz w:val="32"/>
          <w:szCs w:val="32"/>
        </w:rPr>
        <w:t>衔接资金预算指标</w:t>
      </w:r>
      <w:r>
        <w:rPr>
          <w:rFonts w:hint="eastAsia" w:ascii="方正仿宋简体" w:hAnsi="方正仿宋简体" w:eastAsia="方正仿宋简体" w:cs="方正仿宋简体"/>
          <w:color w:val="auto"/>
          <w:sz w:val="32"/>
          <w:szCs w:val="32"/>
          <w:u w:val="single"/>
        </w:rPr>
        <w:t xml:space="preserve">  </w:t>
      </w:r>
      <w:r>
        <w:rPr>
          <w:rFonts w:hint="eastAsia" w:ascii="方正仿宋简体" w:hAnsi="方正仿宋简体" w:eastAsia="方正仿宋简体" w:cs="方正仿宋简体"/>
          <w:color w:val="auto"/>
          <w:sz w:val="32"/>
          <w:szCs w:val="32"/>
          <w:u w:val="single"/>
          <w:lang w:val="en-US" w:eastAsia="zh-CN"/>
        </w:rPr>
        <w:t xml:space="preserve">  </w:t>
      </w:r>
      <w:r>
        <w:rPr>
          <w:rFonts w:hint="eastAsia" w:ascii="方正仿宋简体" w:hAnsi="方正仿宋简体" w:eastAsia="方正仿宋简体" w:cs="方正仿宋简体"/>
          <w:color w:val="auto"/>
          <w:sz w:val="32"/>
          <w:szCs w:val="32"/>
        </w:rPr>
        <w:t>万元。该项指标列</w:t>
      </w:r>
      <w:r>
        <w:rPr>
          <w:rFonts w:hint="default" w:ascii="Times New Roman" w:hAnsi="Times New Roman" w:eastAsia="方正仿宋简体" w:cs="Times New Roman"/>
          <w:color w:val="auto"/>
          <w:sz w:val="32"/>
          <w:szCs w:val="32"/>
        </w:rPr>
        <w:t>202</w:t>
      </w:r>
      <w:r>
        <w:rPr>
          <w:rFonts w:hint="default" w:ascii="Times New Roman" w:hAnsi="Times New Roman" w:eastAsia="方正仿宋简体" w:cs="Times New Roman"/>
          <w:color w:val="auto"/>
          <w:sz w:val="32"/>
          <w:szCs w:val="32"/>
          <w:lang w:val="en-US" w:eastAsia="zh-CN"/>
        </w:rPr>
        <w:t>4</w:t>
      </w:r>
      <w:r>
        <w:rPr>
          <w:rFonts w:hint="eastAsia" w:ascii="方正仿宋简体" w:hAnsi="方正仿宋简体" w:eastAsia="方正仿宋简体" w:cs="方正仿宋简体"/>
          <w:color w:val="auto"/>
          <w:sz w:val="32"/>
          <w:szCs w:val="32"/>
        </w:rPr>
        <w:t>年</w:t>
      </w:r>
      <w:r>
        <w:rPr>
          <w:rFonts w:hint="eastAsia" w:ascii="方正仿宋简体" w:hAnsi="方正仿宋简体" w:eastAsia="方正仿宋简体" w:cs="方正仿宋简体"/>
          <w:color w:val="auto"/>
          <w:sz w:val="32"/>
          <w:szCs w:val="32"/>
          <w:lang w:eastAsia="zh-CN"/>
        </w:rPr>
        <w:t>“</w:t>
      </w:r>
      <w:r>
        <w:rPr>
          <w:rFonts w:hint="default" w:ascii="Times New Roman" w:hAnsi="Times New Roman" w:eastAsia="方正仿宋简体" w:cs="Times New Roman"/>
          <w:color w:val="auto"/>
          <w:sz w:val="32"/>
          <w:szCs w:val="32"/>
        </w:rPr>
        <w:t>1100231</w:t>
      </w:r>
      <w:r>
        <w:rPr>
          <w:rFonts w:hint="eastAsia" w:ascii="方正仿宋简体" w:hAnsi="方正仿宋简体" w:eastAsia="方正仿宋简体" w:cs="方正仿宋简体"/>
          <w:color w:val="auto"/>
          <w:sz w:val="32"/>
          <w:szCs w:val="32"/>
        </w:rPr>
        <w:t>巩固脱贫攻坚成果衔接乡村振兴转移支付收入</w:t>
      </w:r>
      <w:r>
        <w:rPr>
          <w:rFonts w:hint="eastAsia" w:ascii="方正仿宋简体" w:hAnsi="方正仿宋简体" w:eastAsia="方正仿宋简体" w:cs="方正仿宋简体"/>
          <w:color w:val="auto"/>
          <w:sz w:val="32"/>
          <w:szCs w:val="32"/>
          <w:lang w:eastAsia="zh-CN"/>
        </w:rPr>
        <w:t>”“</w:t>
      </w:r>
      <w:r>
        <w:rPr>
          <w:rFonts w:hint="default" w:ascii="Times New Roman" w:hAnsi="Times New Roman" w:eastAsia="方正仿宋简体" w:cs="Times New Roman"/>
          <w:color w:val="auto"/>
          <w:sz w:val="32"/>
          <w:szCs w:val="32"/>
        </w:rPr>
        <w:t>21305</w:t>
      </w:r>
      <w:r>
        <w:rPr>
          <w:rFonts w:hint="default" w:ascii="Times New Roman" w:hAnsi="Times New Roman" w:eastAsia="方正仿宋简体" w:cs="Times New Roman"/>
          <w:color w:val="auto"/>
          <w:sz w:val="32"/>
          <w:szCs w:val="32"/>
          <w:highlight w:val="none"/>
          <w:lang w:val="en-US" w:eastAsia="zh-CN"/>
        </w:rPr>
        <w:t>99</w:t>
      </w:r>
      <w:r>
        <w:rPr>
          <w:rFonts w:hint="eastAsia" w:ascii="方正仿宋简体" w:hAnsi="方正仿宋简体" w:eastAsia="方正仿宋简体" w:cs="方正仿宋简体"/>
          <w:color w:val="auto"/>
          <w:sz w:val="32"/>
          <w:szCs w:val="32"/>
          <w:highlight w:val="none"/>
          <w:lang w:eastAsia="zh-CN"/>
        </w:rPr>
        <w:t>”</w:t>
      </w:r>
      <w:r>
        <w:rPr>
          <w:rFonts w:hint="eastAsia" w:ascii="方正仿宋简体" w:hAnsi="方正仿宋简体" w:eastAsia="方正仿宋简体" w:cs="方正仿宋简体"/>
          <w:color w:val="auto"/>
          <w:sz w:val="32"/>
          <w:szCs w:val="32"/>
          <w:highlight w:val="none"/>
        </w:rPr>
        <w:t>农林水</w:t>
      </w:r>
      <w:r>
        <w:rPr>
          <w:rFonts w:hint="eastAsia" w:ascii="方正仿宋简体" w:hAnsi="方正仿宋简体" w:eastAsia="方正仿宋简体" w:cs="方正仿宋简体"/>
          <w:color w:val="auto"/>
          <w:sz w:val="32"/>
          <w:szCs w:val="32"/>
          <w:highlight w:val="none"/>
          <w:lang w:eastAsia="zh-CN"/>
        </w:rPr>
        <w:t>—其他巩固脱贫攻坚成果衔接乡村振兴支出</w:t>
      </w:r>
      <w:r>
        <w:rPr>
          <w:rFonts w:hint="eastAsia" w:ascii="方正仿宋简体" w:hAnsi="方正仿宋简体" w:eastAsia="方正仿宋简体" w:cs="方正仿宋简体"/>
          <w:color w:val="auto"/>
          <w:sz w:val="32"/>
          <w:szCs w:val="32"/>
          <w:lang w:eastAsia="zh-CN"/>
        </w:rPr>
        <w:t>”科目</w:t>
      </w:r>
      <w:r>
        <w:rPr>
          <w:rFonts w:hint="eastAsia" w:ascii="方正仿宋简体" w:hAnsi="方正仿宋简体" w:eastAsia="方正仿宋简体" w:cs="方正仿宋简体"/>
          <w:color w:val="auto"/>
          <w:sz w:val="32"/>
          <w:szCs w:val="32"/>
        </w:rPr>
        <w:t>，指标按程序使用。</w:t>
      </w:r>
      <w:r>
        <w:rPr>
          <w:rFonts w:hint="eastAsia" w:ascii="方正仿宋简体" w:hAnsi="方正仿宋简体" w:eastAsia="方正仿宋简体" w:cs="方正仿宋简体"/>
          <w:color w:val="auto"/>
          <w:sz w:val="32"/>
          <w:szCs w:val="32"/>
          <w:lang w:eastAsia="zh-CN"/>
        </w:rPr>
        <w:t>具体</w:t>
      </w:r>
      <w:r>
        <w:rPr>
          <w:rFonts w:hint="eastAsia" w:ascii="方正仿宋简体" w:hAnsi="方正仿宋简体" w:eastAsia="方正仿宋简体" w:cs="方正仿宋简体"/>
          <w:color w:val="auto"/>
          <w:sz w:val="32"/>
          <w:szCs w:val="32"/>
        </w:rPr>
        <w:t>要求如下：</w:t>
      </w:r>
      <w:r>
        <w:rPr>
          <w:rFonts w:hint="eastAsia" w:ascii="方正仿宋简体" w:hAnsi="方正仿宋简体" w:eastAsia="方正仿宋简体" w:cs="方正仿宋简体"/>
          <w:color w:val="auto"/>
          <w:sz w:val="32"/>
          <w:szCs w:val="32"/>
          <w:lang w:val="en-US" w:eastAsia="zh-CN"/>
        </w:rPr>
        <w:t xml:space="preserve">                                                  </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简体" w:cs="Times New Roman"/>
          <w:color w:val="auto"/>
          <w:sz w:val="32"/>
          <w:szCs w:val="32"/>
        </w:rPr>
      </w:pPr>
      <w:r>
        <w:rPr>
          <w:rFonts w:hint="eastAsia" w:ascii="方正仿宋简体" w:hAnsi="方正仿宋简体" w:eastAsia="方正仿宋简体" w:cs="方正仿宋简体"/>
          <w:b/>
          <w:bCs/>
          <w:color w:val="auto"/>
          <w:sz w:val="32"/>
          <w:szCs w:val="32"/>
        </w:rPr>
        <w:t>一</w:t>
      </w:r>
      <w:r>
        <w:rPr>
          <w:rFonts w:hint="eastAsia" w:ascii="方正仿宋简体" w:hAnsi="方正仿宋简体" w:eastAsia="方正仿宋简体" w:cs="方正仿宋简体"/>
          <w:b/>
          <w:bCs/>
          <w:color w:val="auto"/>
          <w:sz w:val="32"/>
          <w:szCs w:val="32"/>
          <w:lang w:val="en-US" w:eastAsia="zh-CN"/>
        </w:rPr>
        <w:t>、</w:t>
      </w:r>
      <w:r>
        <w:rPr>
          <w:rFonts w:hint="eastAsia" w:ascii="方正仿宋简体" w:hAnsi="方正仿宋简体" w:eastAsia="方正仿宋简体" w:cs="方正仿宋简体"/>
          <w:b/>
          <w:bCs/>
          <w:color w:val="auto"/>
          <w:sz w:val="32"/>
          <w:szCs w:val="32"/>
        </w:rPr>
        <w:t>加强资金</w:t>
      </w:r>
      <w:r>
        <w:rPr>
          <w:rFonts w:hint="eastAsia" w:ascii="方正仿宋简体" w:hAnsi="方正仿宋简体" w:eastAsia="方正仿宋简体" w:cs="方正仿宋简体"/>
          <w:b/>
          <w:bCs/>
          <w:color w:val="auto"/>
          <w:sz w:val="32"/>
          <w:szCs w:val="32"/>
          <w:lang w:eastAsia="zh-CN"/>
        </w:rPr>
        <w:t>使用</w:t>
      </w:r>
      <w:r>
        <w:rPr>
          <w:rFonts w:hint="eastAsia" w:ascii="方正仿宋简体" w:hAnsi="方正仿宋简体" w:eastAsia="方正仿宋简体" w:cs="方正仿宋简体"/>
          <w:b/>
          <w:bCs/>
          <w:color w:val="auto"/>
          <w:sz w:val="32"/>
          <w:szCs w:val="32"/>
        </w:rPr>
        <w:t>管理。</w:t>
      </w:r>
      <w:r>
        <w:rPr>
          <w:rFonts w:hint="eastAsia" w:ascii="方正仿宋简体" w:hAnsi="方正仿宋简体" w:eastAsia="方正仿宋简体" w:cs="方正仿宋简体"/>
          <w:color w:val="auto"/>
          <w:sz w:val="32"/>
          <w:szCs w:val="32"/>
        </w:rPr>
        <w:t>认真贯彻落实党的二十大精神，贯彻落实习近平总书记关于“三农”工作重要论述，持续抓好巩固</w:t>
      </w:r>
      <w:r>
        <w:rPr>
          <w:rFonts w:hint="default" w:ascii="Times New Roman" w:hAnsi="Times New Roman" w:eastAsia="方正仿宋简体" w:cs="Times New Roman"/>
          <w:color w:val="auto"/>
          <w:sz w:val="32"/>
          <w:szCs w:val="32"/>
        </w:rPr>
        <w:t>拓展脱贫攻坚成果同乡村振兴有效衔接工作，压实资金监管责任，严格按照资金管理办法</w:t>
      </w:r>
      <w:r>
        <w:rPr>
          <w:rFonts w:hint="default" w:ascii="Times New Roman" w:hAnsi="Times New Roman" w:eastAsia="方正仿宋简体" w:cs="Times New Roman"/>
          <w:color w:val="auto"/>
          <w:sz w:val="32"/>
          <w:szCs w:val="32"/>
          <w:lang w:eastAsia="zh-CN"/>
        </w:rPr>
        <w:t>和指导意见规定</w:t>
      </w:r>
      <w:r>
        <w:rPr>
          <w:rFonts w:hint="default" w:ascii="Times New Roman" w:hAnsi="Times New Roman" w:eastAsia="方正仿宋简体" w:cs="Times New Roman"/>
          <w:color w:val="auto"/>
          <w:sz w:val="32"/>
          <w:szCs w:val="32"/>
        </w:rPr>
        <w:t>的用途</w:t>
      </w:r>
      <w:r>
        <w:rPr>
          <w:rFonts w:hint="default" w:ascii="Times New Roman" w:hAnsi="Times New Roman" w:eastAsia="方正仿宋简体" w:cs="Times New Roman"/>
          <w:color w:val="auto"/>
          <w:sz w:val="32"/>
          <w:szCs w:val="32"/>
          <w:lang w:eastAsia="zh-CN"/>
        </w:rPr>
        <w:t>使用</w:t>
      </w:r>
      <w:r>
        <w:rPr>
          <w:rFonts w:hint="default" w:ascii="Times New Roman" w:hAnsi="Times New Roman" w:eastAsia="方正仿宋简体" w:cs="Times New Roman"/>
          <w:color w:val="auto"/>
          <w:sz w:val="32"/>
          <w:szCs w:val="32"/>
        </w:rPr>
        <w:t>资金，</w:t>
      </w:r>
      <w:r>
        <w:rPr>
          <w:rFonts w:hint="default" w:ascii="Times New Roman" w:hAnsi="Times New Roman" w:eastAsia="方正仿宋简体" w:cs="Times New Roman"/>
          <w:color w:val="auto"/>
          <w:sz w:val="32"/>
          <w:szCs w:val="32"/>
          <w:lang w:eastAsia="zh-CN"/>
        </w:rPr>
        <w:t>严禁资金用于负面清单及巩固衔接工作无关的事项，严禁发生挤占挪用、贪污侵占、虚报冒领、滞留闲置资金情况。根据有关政策有求，</w:t>
      </w:r>
      <w:r>
        <w:rPr>
          <w:rFonts w:hint="default" w:ascii="Times New Roman" w:hAnsi="Times New Roman" w:eastAsia="方正仿宋简体" w:cs="Times New Roman"/>
          <w:color w:val="auto"/>
          <w:sz w:val="32"/>
          <w:szCs w:val="32"/>
          <w:lang w:val="en-US" w:eastAsia="zh-CN"/>
        </w:rPr>
        <w:t>2024年起自治区衔接资金不再支持32个脱贫县实施涉农整合政策，各项目单位务必认真执行，规范资金支出方向，</w:t>
      </w:r>
      <w:r>
        <w:rPr>
          <w:rFonts w:hint="default" w:ascii="Times New Roman" w:hAnsi="Times New Roman" w:eastAsia="方正仿宋简体" w:cs="Times New Roman"/>
          <w:color w:val="auto"/>
          <w:sz w:val="32"/>
          <w:szCs w:val="32"/>
        </w:rPr>
        <w:t>不得随意扩大使用范围。</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简体" w:cs="Times New Roman"/>
          <w:color w:val="auto"/>
          <w:sz w:val="32"/>
          <w:szCs w:val="32"/>
          <w:lang w:val="en-US" w:eastAsia="zh-CN"/>
        </w:rPr>
      </w:pPr>
      <w:r>
        <w:rPr>
          <w:rFonts w:hint="eastAsia" w:ascii="方正仿宋简体" w:hAnsi="方正仿宋简体" w:eastAsia="方正仿宋简体" w:cs="方正仿宋简体"/>
          <w:b/>
          <w:bCs/>
          <w:color w:val="auto"/>
          <w:sz w:val="32"/>
          <w:szCs w:val="32"/>
          <w:lang w:eastAsia="zh-CN"/>
        </w:rPr>
        <w:t>二、突出资金支持重点。</w:t>
      </w:r>
      <w:r>
        <w:rPr>
          <w:rFonts w:hint="eastAsia" w:ascii="方正仿宋简体" w:hAnsi="方正仿宋简体" w:eastAsia="方正仿宋简体" w:cs="方正仿宋简体"/>
          <w:color w:val="auto"/>
          <w:sz w:val="32"/>
          <w:szCs w:val="32"/>
          <w:lang w:eastAsia="zh-CN"/>
        </w:rPr>
        <w:t>各项目单位加强项目谋划等前期工作，突出资金支持重点，优先支持联农带农富农产业发展，重点支持粮棉果畜四大涉农产业集群标准化生产、初加工、精深加工、仓储、冷链物流等环节；促进以农业产业为主体的</w:t>
      </w:r>
      <w:r>
        <w:rPr>
          <w:rFonts w:hint="eastAsia" w:ascii="方正仿宋简体" w:hAnsi="方正仿宋简体" w:eastAsia="方正仿宋简体" w:cs="方正仿宋简体"/>
          <w:color w:val="auto"/>
          <w:sz w:val="32"/>
          <w:szCs w:val="32"/>
          <w:lang w:val="en-US" w:eastAsia="zh-CN"/>
        </w:rPr>
        <w:t>一二三产业融合发展，推进产业集聚发展、提档升级，健全完善利益联结机制，带动农民增收致富。进一步巩固拓展脱贫攻坚成果，增强脱贫地区和脱贫群众内生发展动力。</w:t>
      </w:r>
      <w:r>
        <w:rPr>
          <w:rFonts w:hint="default" w:ascii="Times New Roman" w:hAnsi="Times New Roman" w:eastAsia="方正仿宋简体" w:cs="Times New Roman"/>
          <w:color w:val="auto"/>
          <w:sz w:val="32"/>
          <w:szCs w:val="32"/>
          <w:lang w:val="en-US" w:eastAsia="zh-CN"/>
        </w:rPr>
        <w:t>2024年中央衔接资金用于产业发展的比例不得低于65%，其中用于粮棉果畜产业的比例原则上不低于65%。</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b/>
          <w:bCs/>
          <w:color w:val="auto"/>
          <w:sz w:val="32"/>
          <w:szCs w:val="32"/>
          <w:lang w:val="en-US" w:eastAsia="zh-CN"/>
        </w:rPr>
        <w:t>三、科学推进产业到户。</w:t>
      </w:r>
      <w:r>
        <w:rPr>
          <w:rFonts w:hint="eastAsia" w:ascii="方正仿宋简体" w:hAnsi="方正仿宋简体" w:eastAsia="方正仿宋简体" w:cs="方正仿宋简体"/>
          <w:color w:val="auto"/>
          <w:sz w:val="32"/>
          <w:szCs w:val="32"/>
          <w:lang w:val="en-US" w:eastAsia="zh-CN"/>
        </w:rPr>
        <w:t>根究《关于</w:t>
      </w:r>
      <w:r>
        <w:rPr>
          <w:rFonts w:hint="default" w:ascii="Times New Roman" w:hAnsi="Times New Roman" w:eastAsia="方正仿宋简体" w:cs="Times New Roman"/>
          <w:color w:val="auto"/>
          <w:sz w:val="32"/>
          <w:szCs w:val="32"/>
          <w:lang w:val="en-US" w:eastAsia="zh-CN"/>
        </w:rPr>
        <w:t>2024</w:t>
      </w:r>
      <w:r>
        <w:rPr>
          <w:rFonts w:hint="eastAsia" w:ascii="方正仿宋简体" w:hAnsi="方正仿宋简体" w:eastAsia="方正仿宋简体" w:cs="方正仿宋简体"/>
          <w:color w:val="auto"/>
          <w:sz w:val="32"/>
          <w:szCs w:val="32"/>
          <w:lang w:val="en-US" w:eastAsia="zh-CN"/>
        </w:rPr>
        <w:t>年推动产业帮扶精准到户促进农民持续增收有关工作的通知》，科学推进产业到户项目实施，充分尊重帮扶对象发展意愿，坚持先干后补，干好再补，推动实现补助一户、见效一户、带动一片的政策效果。项目单位要加强审核把关，结合实际情况，合理确定产业到户项目资金规模，对当年已获得财政资金扶持的项目在同一环节不重复补助，到户项目奖补资金应严格通过“一卡通”系统统一发放，确保资金安全。</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b/>
          <w:bCs/>
          <w:color w:val="auto"/>
          <w:sz w:val="32"/>
          <w:szCs w:val="32"/>
          <w:lang w:val="en-US" w:eastAsia="zh-CN"/>
        </w:rPr>
        <w:t>四、强化项目绩效管理。</w:t>
      </w:r>
      <w:r>
        <w:rPr>
          <w:rFonts w:hint="eastAsia" w:ascii="方正仿宋简体" w:hAnsi="方正仿宋简体" w:eastAsia="方正仿宋简体" w:cs="方正仿宋简体"/>
          <w:color w:val="auto"/>
          <w:sz w:val="32"/>
          <w:szCs w:val="32"/>
          <w:lang w:eastAsia="zh-CN"/>
        </w:rPr>
        <w:t>完善资金项目全过程绩效管理机制，严格绩效目标管理，将项目资产确权、联农带农、持续发挥效益情况纳入绩效目标，</w:t>
      </w:r>
      <w:r>
        <w:rPr>
          <w:rFonts w:hint="eastAsia" w:ascii="方正仿宋简体" w:hAnsi="方正仿宋简体" w:eastAsia="方正仿宋简体" w:cs="方正仿宋简体"/>
          <w:color w:val="auto"/>
          <w:sz w:val="32"/>
          <w:szCs w:val="32"/>
        </w:rPr>
        <w:t>做好绩效</w:t>
      </w:r>
      <w:r>
        <w:rPr>
          <w:rFonts w:hint="eastAsia" w:ascii="方正仿宋简体" w:hAnsi="方正仿宋简体" w:eastAsia="方正仿宋简体" w:cs="方正仿宋简体"/>
          <w:color w:val="auto"/>
          <w:sz w:val="32"/>
          <w:szCs w:val="32"/>
          <w:lang w:eastAsia="zh-CN"/>
        </w:rPr>
        <w:t>目标</w:t>
      </w:r>
      <w:r>
        <w:rPr>
          <w:rFonts w:hint="eastAsia" w:ascii="方正仿宋简体" w:hAnsi="方正仿宋简体" w:eastAsia="方正仿宋简体" w:cs="方正仿宋简体"/>
          <w:color w:val="auto"/>
          <w:sz w:val="32"/>
          <w:szCs w:val="32"/>
        </w:rPr>
        <w:t>运行监控，</w:t>
      </w:r>
      <w:r>
        <w:rPr>
          <w:rFonts w:hint="eastAsia" w:ascii="方正仿宋简体" w:hAnsi="方正仿宋简体" w:eastAsia="方正仿宋简体" w:cs="方正仿宋简体"/>
          <w:color w:val="auto"/>
          <w:sz w:val="32"/>
          <w:szCs w:val="32"/>
          <w:lang w:eastAsia="zh-CN"/>
        </w:rPr>
        <w:t>发现问题及时处理，</w:t>
      </w:r>
      <w:r>
        <w:rPr>
          <w:rFonts w:hint="eastAsia" w:ascii="方正仿宋简体" w:hAnsi="方正仿宋简体" w:eastAsia="方正仿宋简体" w:cs="方正仿宋简体"/>
          <w:color w:val="auto"/>
          <w:sz w:val="32"/>
          <w:szCs w:val="32"/>
        </w:rPr>
        <w:t>扎实开展绩效评价</w:t>
      </w:r>
      <w:r>
        <w:rPr>
          <w:rFonts w:hint="eastAsia" w:ascii="方正仿宋简体" w:hAnsi="方正仿宋简体" w:eastAsia="方正仿宋简体" w:cs="方正仿宋简体"/>
          <w:color w:val="auto"/>
          <w:sz w:val="32"/>
          <w:szCs w:val="32"/>
          <w:lang w:eastAsia="zh-CN"/>
        </w:rPr>
        <w:t>，</w:t>
      </w:r>
      <w:r>
        <w:rPr>
          <w:rFonts w:hint="eastAsia" w:ascii="方正仿宋简体" w:hAnsi="方正仿宋简体" w:eastAsia="方正仿宋简体" w:cs="方正仿宋简体"/>
          <w:color w:val="auto"/>
          <w:sz w:val="32"/>
          <w:szCs w:val="32"/>
        </w:rPr>
        <w:t>突出资金使用成效，</w:t>
      </w:r>
      <w:r>
        <w:rPr>
          <w:rFonts w:hint="eastAsia" w:ascii="方正仿宋简体" w:hAnsi="方正仿宋简体" w:eastAsia="方正仿宋简体" w:cs="方正仿宋简体"/>
          <w:color w:val="auto"/>
          <w:sz w:val="32"/>
          <w:szCs w:val="32"/>
          <w:lang w:eastAsia="zh-CN"/>
        </w:rPr>
        <w:t>确保项目资产权属清晰、运营高效、管护到位、联农带农紧密、效益充分发挥。</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b/>
          <w:bCs/>
          <w:color w:val="auto"/>
          <w:sz w:val="32"/>
          <w:szCs w:val="32"/>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方正仿宋简体" w:hAnsi="方正仿宋简体" w:eastAsia="方正仿宋简体" w:cs="方正仿宋简体"/>
          <w:b/>
          <w:bCs/>
          <w:color w:val="auto"/>
          <w:sz w:val="32"/>
          <w:szCs w:val="32"/>
          <w:lang w:val="en-US" w:eastAsia="zh-CN"/>
        </w:rPr>
        <w:t>附件：</w:t>
      </w:r>
      <w:r>
        <w:rPr>
          <w:rFonts w:hint="default" w:ascii="Times New Roman" w:hAnsi="Times New Roman" w:eastAsia="仿宋_GB2312" w:cs="Times New Roman"/>
          <w:color w:val="auto"/>
          <w:sz w:val="32"/>
          <w:szCs w:val="32"/>
        </w:rPr>
        <w:t xml:space="preserve"> 策勒县202</w:t>
      </w:r>
      <w:r>
        <w:rPr>
          <w:rFonts w:hint="default"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eastAsia="zh-CN"/>
        </w:rPr>
        <w:t>自治区</w:t>
      </w:r>
      <w:r>
        <w:rPr>
          <w:rFonts w:hint="default" w:ascii="Times New Roman" w:hAnsi="Times New Roman" w:eastAsia="仿宋_GB2312" w:cs="Times New Roman"/>
          <w:color w:val="auto"/>
          <w:sz w:val="32"/>
          <w:szCs w:val="32"/>
        </w:rPr>
        <w:t>财政衔接推进乡村振兴补助资金分配表</w:t>
      </w:r>
    </w:p>
    <w:p>
      <w:pPr>
        <w:pStyle w:val="6"/>
        <w:keepNext w:val="0"/>
        <w:keepLines w:val="0"/>
        <w:pageBreakBefore w:val="0"/>
        <w:widowControl w:val="0"/>
        <w:suppressLineNumbers w:val="0"/>
        <w:kinsoku/>
        <w:wordWrap/>
        <w:overflowPunct/>
        <w:topLinePunct w:val="0"/>
        <w:autoSpaceDE/>
        <w:autoSpaceDN/>
        <w:bidi w:val="0"/>
        <w:adjustRightInd/>
        <w:snapToGrid/>
        <w:spacing w:line="48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480" w:lineRule="exact"/>
        <w:ind w:firstLine="1280" w:firstLineChars="400"/>
        <w:jc w:val="both"/>
        <w:textAlignment w:val="auto"/>
        <w:rPr>
          <w:rFonts w:hint="default" w:ascii="Times New Roman" w:hAnsi="Times New Roman" w:eastAsia="仿宋_GB2312" w:cs="Times New Roman"/>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480" w:lineRule="exact"/>
        <w:ind w:firstLine="1280" w:firstLineChars="400"/>
        <w:jc w:val="both"/>
        <w:textAlignment w:val="auto"/>
        <w:rPr>
          <w:rFonts w:hint="default" w:ascii="Times New Roman" w:hAnsi="Times New Roman" w:eastAsia="仿宋_GB2312" w:cs="Times New Roman"/>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480" w:lineRule="exact"/>
        <w:ind w:firstLine="1280" w:firstLineChars="400"/>
        <w:jc w:val="both"/>
        <w:textAlignment w:val="auto"/>
        <w:rPr>
          <w:rFonts w:hint="default" w:ascii="Times New Roman" w:hAnsi="Times New Roman" w:eastAsia="仿宋_GB2312" w:cs="Times New Roman"/>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480" w:lineRule="exact"/>
        <w:ind w:firstLine="1280" w:firstLineChars="400"/>
        <w:jc w:val="both"/>
        <w:textAlignment w:val="auto"/>
        <w:rPr>
          <w:rFonts w:hint="default" w:ascii="Times New Roman" w:hAnsi="Times New Roman" w:eastAsia="仿宋_GB2312" w:cs="Times New Roman"/>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480" w:lineRule="exact"/>
        <w:ind w:firstLine="1280" w:firstLineChars="400"/>
        <w:jc w:val="both"/>
        <w:textAlignment w:val="auto"/>
        <w:rPr>
          <w:rFonts w:hint="default" w:ascii="Times New Roman" w:hAnsi="Times New Roman" w:eastAsia="仿宋_GB2312" w:cs="Times New Roman"/>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color w:val="auto"/>
          <w:sz w:val="32"/>
          <w:szCs w:val="32"/>
          <w:lang w:val="en-US" w:eastAsia="zh-CN"/>
        </w:rPr>
      </w:pPr>
      <w:bookmarkStart w:id="0" w:name="_GoBack"/>
      <w:bookmarkEnd w:id="0"/>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 xml:space="preserve">策勒县财政局           </w:t>
      </w: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lang w:val="en-US" w:eastAsia="zh-CN"/>
        </w:rPr>
        <w:t xml:space="preserve">   策勒县</w:t>
      </w:r>
      <w:r>
        <w:rPr>
          <w:rFonts w:hint="default" w:ascii="Times New Roman" w:hAnsi="Times New Roman" w:eastAsia="仿宋_GB2312" w:cs="Times New Roman"/>
          <w:color w:val="auto"/>
          <w:sz w:val="32"/>
          <w:szCs w:val="32"/>
          <w:lang w:eastAsia="zh-CN"/>
        </w:rPr>
        <w:t>乡村振兴局</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960" w:firstLineChars="3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2024年</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25</w:t>
      </w:r>
      <w:r>
        <w:rPr>
          <w:rFonts w:hint="default" w:ascii="Times New Roman" w:hAnsi="Times New Roman" w:eastAsia="仿宋_GB2312" w:cs="Times New Roman"/>
          <w:color w:val="auto"/>
          <w:sz w:val="32"/>
          <w:szCs w:val="32"/>
          <w:lang w:val="en-US" w:eastAsia="zh-CN"/>
        </w:rPr>
        <w:t>日               2024年</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25</w:t>
      </w:r>
      <w:r>
        <w:rPr>
          <w:rFonts w:hint="default" w:ascii="Times New Roman" w:hAnsi="Times New Roman" w:eastAsia="仿宋_GB2312" w:cs="Times New Roman"/>
          <w:color w:val="auto"/>
          <w:sz w:val="32"/>
          <w:szCs w:val="32"/>
          <w:lang w:val="en-US" w:eastAsia="zh-CN"/>
        </w:rPr>
        <w:t>日</w:t>
      </w:r>
    </w:p>
    <w:p>
      <w:pPr>
        <w:keepNext w:val="0"/>
        <w:keepLines w:val="0"/>
        <w:pageBreakBefore w:val="0"/>
        <w:widowControl w:val="0"/>
        <w:kinsoku/>
        <w:wordWrap/>
        <w:overflowPunct/>
        <w:topLinePunct w:val="0"/>
        <w:autoSpaceDE/>
        <w:autoSpaceDN/>
        <w:bidi w:val="0"/>
        <w:adjustRightInd/>
        <w:snapToGrid w:val="0"/>
        <w:spacing w:line="560" w:lineRule="exact"/>
        <w:textAlignment w:val="center"/>
        <w:rPr>
          <w:rFonts w:hint="default" w:ascii="Times New Roman" w:hAnsi="Times New Roman" w:eastAsia="仿宋_GB2312" w:cs="Times New Roman"/>
          <w:b/>
          <w:color w:val="auto"/>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textAlignment w:val="center"/>
        <w:rPr>
          <w:rFonts w:hint="default" w:ascii="Times New Roman" w:hAnsi="Times New Roman" w:eastAsia="仿宋_GB2312" w:cs="Times New Roman"/>
          <w:b/>
          <w:color w:val="auto"/>
          <w:sz w:val="32"/>
          <w:szCs w:val="32"/>
        </w:rPr>
      </w:pPr>
    </w:p>
    <w:p>
      <w:pPr>
        <w:pStyle w:val="2"/>
        <w:numPr>
          <w:numId w:val="0"/>
        </w:numPr>
        <w:ind w:leftChars="0"/>
        <w:rPr>
          <w:rFonts w:hint="default"/>
        </w:rPr>
      </w:pPr>
    </w:p>
    <w:p>
      <w:pPr>
        <w:keepNext w:val="0"/>
        <w:keepLines w:val="0"/>
        <w:pageBreakBefore w:val="0"/>
        <w:widowControl w:val="0"/>
        <w:kinsoku/>
        <w:wordWrap/>
        <w:overflowPunct/>
        <w:topLinePunct w:val="0"/>
        <w:autoSpaceDE/>
        <w:autoSpaceDN/>
        <w:bidi w:val="0"/>
        <w:adjustRightInd/>
        <w:snapToGrid w:val="0"/>
        <w:spacing w:line="560" w:lineRule="exact"/>
        <w:textAlignment w:val="center"/>
        <w:rPr>
          <w:rFonts w:hint="default" w:ascii="Times New Roman" w:hAnsi="Times New Roman" w:eastAsia="仿宋_GB2312" w:cs="Times New Roman"/>
          <w:b/>
          <w:color w:val="auto"/>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textAlignment w:val="cente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color w:val="auto"/>
          <w:sz w:val="32"/>
          <w:szCs w:val="32"/>
        </w:rPr>
        <w:t>抄送：</w:t>
      </w:r>
      <w:r>
        <w:rPr>
          <w:rFonts w:hint="default" w:ascii="Times New Roman" w:hAnsi="Times New Roman" w:eastAsia="仿宋_GB2312" w:cs="Times New Roman"/>
          <w:color w:val="auto"/>
          <w:sz w:val="32"/>
          <w:szCs w:val="32"/>
          <w:lang w:eastAsia="zh-CN"/>
        </w:rPr>
        <w:t>乡村振兴局</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各项目单位</w:t>
      </w:r>
      <w:r>
        <w:rPr>
          <w:rFonts w:hint="default" w:ascii="Times New Roman" w:hAnsi="Times New Roman" w:eastAsia="仿宋_GB2312" w:cs="Times New Roman"/>
          <w:color w:val="auto"/>
          <w:sz w:val="32"/>
          <w:szCs w:val="32"/>
        </w:rPr>
        <w:t>、本局存</w:t>
      </w:r>
    </w:p>
    <w:p>
      <w:pPr>
        <w:keepNext w:val="0"/>
        <w:keepLines w:val="0"/>
        <w:pageBreakBefore w:val="0"/>
        <w:widowControl w:val="0"/>
        <w:pBdr>
          <w:top w:val="single" w:color="auto" w:sz="4" w:space="1"/>
          <w:bottom w:val="single" w:color="auto" w:sz="4" w:space="1"/>
          <w:between w:val="single" w:color="auto" w:sz="4" w:space="1"/>
        </w:pBdr>
        <w:kinsoku/>
        <w:wordWrap/>
        <w:overflowPunct/>
        <w:topLinePunct w:val="0"/>
        <w:autoSpaceDE/>
        <w:autoSpaceDN/>
        <w:bidi w:val="0"/>
        <w:adjustRightInd/>
        <w:snapToGrid w:val="0"/>
        <w:spacing w:line="560" w:lineRule="exact"/>
        <w:textAlignment w:val="center"/>
        <w:rPr>
          <w:color w:val="auto"/>
        </w:rPr>
      </w:pPr>
      <w:r>
        <w:rPr>
          <w:rFonts w:hint="default" w:ascii="Times New Roman" w:hAnsi="Times New Roman" w:eastAsia="仿宋_GB2312" w:cs="Times New Roman"/>
          <w:color w:val="auto"/>
          <w:sz w:val="32"/>
          <w:szCs w:val="32"/>
        </w:rPr>
        <w:t xml:space="preserve">策勒县财政局                </w:t>
      </w:r>
      <w:r>
        <w:rPr>
          <w:rFonts w:hint="default"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 xml:space="preserve">  </w:t>
      </w: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 xml:space="preserve"> </w:t>
      </w: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lang w:val="en-US" w:eastAsia="zh-CN"/>
        </w:rPr>
        <w:t xml:space="preserve"> 2024</w:t>
      </w:r>
      <w:r>
        <w:rPr>
          <w:rFonts w:hint="default" w:ascii="Times New Roman" w:hAnsi="Times New Roman" w:eastAsia="仿宋_GB2312" w:cs="Times New Roman"/>
          <w:color w:val="auto"/>
          <w:sz w:val="32"/>
          <w:szCs w:val="32"/>
        </w:rPr>
        <w:t>年</w:t>
      </w:r>
      <w:r>
        <w:rPr>
          <w:rFonts w:hint="eastAsia"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月</w:t>
      </w:r>
      <w:r>
        <w:rPr>
          <w:rFonts w:hint="eastAsia" w:eastAsia="仿宋_GB2312" w:cs="Times New Roman"/>
          <w:color w:val="auto"/>
          <w:sz w:val="32"/>
          <w:szCs w:val="32"/>
          <w:lang w:val="en-US" w:eastAsia="zh-CN"/>
        </w:rPr>
        <w:t>25</w:t>
      </w:r>
      <w:r>
        <w:rPr>
          <w:rFonts w:hint="default" w:ascii="Times New Roman" w:hAnsi="Times New Roman" w:eastAsia="仿宋_GB2312" w:cs="Times New Roman"/>
          <w:color w:val="auto"/>
          <w:sz w:val="32"/>
          <w:szCs w:val="32"/>
        </w:rPr>
        <w:t>日印</w:t>
      </w:r>
    </w:p>
    <w:sectPr>
      <w:footerReference r:id="rId3" w:type="default"/>
      <w:pgSz w:w="11906" w:h="16838"/>
      <w:pgMar w:top="1814" w:right="1531" w:bottom="1531" w:left="1531" w:header="851" w:footer="113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3044D"/>
    <w:multiLevelType w:val="multilevel"/>
    <w:tmpl w:val="3983044D"/>
    <w:lvl w:ilvl="0" w:tentative="0">
      <w:start w:val="1"/>
      <w:numFmt w:val="decimal"/>
      <w:pStyle w:val="2"/>
      <w:lvlText w:val="第%1章"/>
      <w:lvlJc w:val="left"/>
      <w:pPr>
        <w:tabs>
          <w:tab w:val="left" w:pos="425"/>
        </w:tabs>
        <w:ind w:left="425" w:hanging="425"/>
      </w:pPr>
      <w:rPr>
        <w:rFonts w:hint="eastAsia" w:ascii="Times New Roman" w:hAnsi="Times New Roman" w:cs="Times New Roman"/>
        <w:i w:val="0"/>
        <w:iCs w:val="0"/>
        <w:caps w:val="0"/>
        <w:smallCaps w:val="0"/>
        <w:strike w:val="0"/>
        <w:dstrike w:val="0"/>
        <w:vanish w:val="0"/>
        <w:spacing w:val="0"/>
        <w:position w:val="0"/>
        <w:u w:val="none"/>
        <w:vertAlign w:val="baseline"/>
      </w:rPr>
    </w:lvl>
    <w:lvl w:ilvl="1" w:tentative="0">
      <w:start w:val="1"/>
      <w:numFmt w:val="decimal"/>
      <w:isLgl/>
      <w:lvlText w:val="%1.%2"/>
      <w:lvlJc w:val="left"/>
      <w:pPr>
        <w:tabs>
          <w:tab w:val="left" w:pos="709"/>
        </w:tabs>
        <w:ind w:left="709" w:hanging="567"/>
      </w:pPr>
      <w:rPr>
        <w:rFonts w:hint="default" w:ascii="Times New Roman" w:hAnsi="Times New Roman" w:cs="Times New Roman"/>
        <w:lang w:val="en-US"/>
      </w:rPr>
    </w:lvl>
    <w:lvl w:ilvl="2" w:tentative="0">
      <w:start w:val="1"/>
      <w:numFmt w:val="decimal"/>
      <w:isLgl/>
      <w:lvlText w:val="%1.%2.%3"/>
      <w:lvlJc w:val="left"/>
      <w:pPr>
        <w:tabs>
          <w:tab w:val="left" w:pos="709"/>
        </w:tabs>
        <w:ind w:left="709" w:hanging="709"/>
      </w:pPr>
      <w:rPr>
        <w:rFonts w:hint="eastAsia"/>
        <w:sz w:val="32"/>
        <w:szCs w:val="32"/>
      </w:rPr>
    </w:lvl>
    <w:lvl w:ilvl="3" w:tentative="0">
      <w:start w:val="1"/>
      <w:numFmt w:val="decimal"/>
      <w:isLgl/>
      <w:lvlText w:val="%1.%2.%3.%4."/>
      <w:lvlJc w:val="left"/>
      <w:pPr>
        <w:tabs>
          <w:tab w:val="left" w:pos="851"/>
        </w:tabs>
        <w:ind w:left="851" w:hanging="851"/>
      </w:pPr>
      <w:rPr>
        <w:rFonts w:hint="eastAsia"/>
      </w:rPr>
    </w:lvl>
    <w:lvl w:ilvl="4" w:tentative="0">
      <w:start w:val="1"/>
      <w:numFmt w:val="decimal"/>
      <w:isLg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A9284A"/>
    <w:rsid w:val="00CF6420"/>
    <w:rsid w:val="04A9284A"/>
    <w:rsid w:val="04D500BE"/>
    <w:rsid w:val="077F42DC"/>
    <w:rsid w:val="0C341CD7"/>
    <w:rsid w:val="16471562"/>
    <w:rsid w:val="1AE01AC8"/>
    <w:rsid w:val="216B3912"/>
    <w:rsid w:val="22C378A8"/>
    <w:rsid w:val="277E7357"/>
    <w:rsid w:val="28602E82"/>
    <w:rsid w:val="2D283534"/>
    <w:rsid w:val="2DDC0026"/>
    <w:rsid w:val="2F327D4C"/>
    <w:rsid w:val="3A2E20E0"/>
    <w:rsid w:val="3A4F06A8"/>
    <w:rsid w:val="3DCE19D8"/>
    <w:rsid w:val="3E1259B6"/>
    <w:rsid w:val="4345031F"/>
    <w:rsid w:val="465E1F97"/>
    <w:rsid w:val="46F6572A"/>
    <w:rsid w:val="471A50FD"/>
    <w:rsid w:val="4BC76ABD"/>
    <w:rsid w:val="55253F02"/>
    <w:rsid w:val="570165D0"/>
    <w:rsid w:val="583F4D47"/>
    <w:rsid w:val="6FC12253"/>
    <w:rsid w:val="752A231B"/>
    <w:rsid w:val="763D4E2F"/>
    <w:rsid w:val="77471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List"/>
    <w:basedOn w:val="1"/>
    <w:unhideWhenUsed/>
    <w:qFormat/>
    <w:uiPriority w:val="99"/>
    <w:pPr>
      <w:numPr>
        <w:ilvl w:val="0"/>
        <w:numId w:val="1"/>
      </w:numPr>
      <w:adjustRightInd w:val="0"/>
      <w:spacing w:line="360" w:lineRule="auto"/>
      <w:textAlignment w:val="baseline"/>
    </w:pPr>
    <w:rPr>
      <w:rFonts w:ascii="Arial" w:hAnsi="Arial"/>
      <w:kern w:val="0"/>
      <w:sz w:val="24"/>
      <w:szCs w:val="24"/>
    </w:rPr>
  </w:style>
  <w:style w:type="paragraph" w:styleId="3">
    <w:name w:val="Body Text"/>
    <w:basedOn w:val="1"/>
    <w:unhideWhenUsed/>
    <w:qFormat/>
    <w:uiPriority w:val="99"/>
    <w:rPr>
      <w:b/>
      <w:bCs/>
      <w:sz w:val="103"/>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2024-01-09T04:41:00Z</dcterms:created>
  <dc:creator>财政局</dc:creator>
  <cp:lastModifiedBy>财政局</cp:lastModifiedBy>
  <dcterms:modified xsi:type="dcterms:W3CDTF">2024-09-11T03:21:41Z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