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ArialUnicodeMS" w:eastAsia="黑体"/>
          <w:color w:val="000000"/>
          <w:sz w:val="44"/>
          <w:szCs w:val="44"/>
        </w:rPr>
      </w:pPr>
      <w:bookmarkStart w:id="0" w:name="_GoBack"/>
      <w:bookmarkEnd w:id="0"/>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策勒县教育局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2024年策勒县教育局部门概况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关于策勒县教育局2024年收支预算情况的总体说明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关于策勒县教育局2024年收入预算情况说明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关于策勒县教育局2024年支出预算情况说明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关于策勒县教育局2024年财政拨款收支预算情况的总体说明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关于策勒县教育局2024年一般公共预算当年拨款情况说明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关于策勒县教育局2024年一般公共预算基本支出情况说明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关于策勒县教育局2024年一般公共预算项目支出情况说明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关于策勒县教育局2024年政府性基金预算拨款情况说明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关于策勒县教育局2024年国有资本经营预算拨款情况说明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关于策勒县教育局2024年财政拨款“三公”经费预算情况说明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关于策勒县教育局2024年上年结转结余预算情况说明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2024年策勒县教育局部门概况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1.全面负责学校工作，认真贯彻落实党和国家的方针、政策，正确执行上级主管部门的决议和指示，全面实施素质教育，培养德、智、体、美等方面全面发展的社会主义事业的建设者和接班人。</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2.根据教育规律、社会要求和学校实际，组织制定学校发展规划、近期目标、学年和学期各项工作计划以及各项工作指标并组织实施。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3.加强学校的科学化管理，制定和健全各项规章制度，规范办学行为，培养良好校风，逐步实现管理决策的科学化，管理方法的定量化和管理手段的现代化。</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4.负责教师队伍建设工作，决定校内教职工的工作安排，组织对教职工进行考核，实施奖惩。制定教师队伍建设规划，不断提高他们的政治素质、文化业务水平和科研水平。</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5.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    </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负责领导和组织学校的教学工作，坚持以教学为中心，保证教学计划的贯彻执行。要有计划地参加教研活动，有目的地深入教学第一线，了解教师教学和学生学习情况，要大力推进教学改革，加强科研工作的组织领导。有计划地组织质量检查、分析，提出提高教学质量的方法。</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8.加强与党支部的合作，主动接受学校党组织的监督，搞好领导班子的团结和协作。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9.依靠群众办学，实行民主管理和民主监督。负责定期向教代会报告工作，充分发挥教代会参与学校民主管理和民主监督的作用，支持其在职权范围内所做的有关决定。督促和检查教代会提案的办理与落实。</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10.主持学校与学生家长及社会的联系工作和外来工作。搞好校际间的交往；做好与社会各界的联系工作，争取各方面力量对学校的支持，为办好学校创造良好的外部条件。</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策勒县教育局无下属预算单位，下设5个处室，分别是：学生资助中心、教师培训中心、教育教学研究室、青少年活动中心、局机关办公室。</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策勒县教育局编制数49，实有人数61人，其中：在职40人，减少0人；退休21人，增加0人；离休0人，减少0人。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9500" w:type="dxa"/>
        <w:jc w:val="center"/>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编制部门：策勒县教育局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4,434.87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4,434.87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849.49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3,585.38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11,494.85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7,171.70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7,171.70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7,171.70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11,606.57</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11,606.57</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编制部门：策勒县教育局</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11,606.57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4,434.87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3,585.38</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7,171.70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教育支出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11,494.85</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4,434.87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3,585.38</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7,059.97</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教育管理事务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849.49</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849.49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849.49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849.49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普通教育</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9,250.79</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3,585.38</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3,585.38</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5,665.41</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学前教育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522.90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366.38</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366.38</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156.52</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小学教育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861.90</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861.90</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初中教育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3,018.40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2,546.00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2,546.00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472.40</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高中教育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98.72</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98.72</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其他普通教育支出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4,748.87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673.00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673.00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4,075.87</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其他教育支出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1,394.57</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1,394.57</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其他教育支出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1,394.57</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1,394.57</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3.30</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3.30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巩固脱贫攻坚成果衔接乡村振兴</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3.30</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3.30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其他巩固脱贫攻坚成果衔接乡村振兴支出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3.30</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3.30</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其他支出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108.42</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108.42</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其他支出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108.42</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108.42</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229</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108.42</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108.42</w:t>
            </w: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编制部门：策勒县教育局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11,606.57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849.49</w:t>
            </w:r>
          </w:p>
        </w:tc>
        <w:tc>
          <w:tcPr>
            <w:tcW w:w="1405" w:type="dxa"/>
            <w:shd w:val="clear" w:color="auto" w:fill="auto"/>
            <w:vAlign w:val="center"/>
          </w:tcPr>
          <w:p>
            <w:pPr>
              <w:jc w:val="right"/>
              <w:rPr>
                <w:b/>
                <w:sz w:val="18"/>
                <w:szCs w:val="18"/>
              </w:rPr>
            </w:pPr>
            <w:r>
              <w:rPr>
                <w:rFonts w:hint="eastAsia" w:ascii="宋体" w:hAnsi="宋体"/>
                <w:b/>
                <w:color w:val="000000"/>
                <w:sz w:val="18"/>
                <w:szCs w:val="18"/>
              </w:rPr>
              <w:t>10,757.08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教育支出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11,494.85</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849.49</w:t>
            </w:r>
          </w:p>
        </w:tc>
        <w:tc>
          <w:tcPr>
            <w:tcW w:w="1405" w:type="dxa"/>
            <w:shd w:val="clear" w:color="auto" w:fill="auto"/>
            <w:vAlign w:val="center"/>
          </w:tcPr>
          <w:p>
            <w:pPr>
              <w:jc w:val="right"/>
              <w:rPr>
                <w:b/>
                <w:sz w:val="18"/>
                <w:szCs w:val="18"/>
              </w:rPr>
            </w:pPr>
            <w:r>
              <w:rPr>
                <w:rFonts w:hint="eastAsia" w:ascii="宋体" w:hAnsi="宋体"/>
                <w:b/>
                <w:color w:val="000000"/>
                <w:sz w:val="18"/>
                <w:szCs w:val="18"/>
              </w:rPr>
              <w:t>10,645.35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教育管理事务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849.49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849.49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849.49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849.49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普通教育</w:t>
            </w:r>
          </w:p>
        </w:tc>
        <w:tc>
          <w:tcPr>
            <w:tcW w:w="1306" w:type="dxa"/>
            <w:shd w:val="clear" w:color="auto" w:fill="auto"/>
            <w:vAlign w:val="center"/>
          </w:tcPr>
          <w:p>
            <w:pPr>
              <w:jc w:val="right"/>
              <w:rPr>
                <w:b/>
                <w:sz w:val="18"/>
                <w:szCs w:val="18"/>
              </w:rPr>
            </w:pPr>
            <w:r>
              <w:rPr>
                <w:rFonts w:hint="eastAsia" w:ascii="宋体" w:hAnsi="宋体"/>
                <w:b/>
                <w:color w:val="000000"/>
                <w:sz w:val="18"/>
                <w:szCs w:val="18"/>
              </w:rPr>
              <w:t>9,250.79</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9,250.79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学前教育</w:t>
            </w:r>
          </w:p>
        </w:tc>
        <w:tc>
          <w:tcPr>
            <w:tcW w:w="1306" w:type="dxa"/>
            <w:shd w:val="clear" w:color="auto" w:fill="auto"/>
            <w:vAlign w:val="center"/>
          </w:tcPr>
          <w:p>
            <w:pPr>
              <w:jc w:val="right"/>
              <w:rPr>
                <w:sz w:val="18"/>
                <w:szCs w:val="18"/>
              </w:rPr>
            </w:pPr>
            <w:r>
              <w:rPr>
                <w:rFonts w:hint="eastAsia" w:ascii="宋体" w:hAnsi="宋体"/>
                <w:color w:val="000000"/>
                <w:sz w:val="18"/>
                <w:szCs w:val="18"/>
              </w:rPr>
              <w:t>522.90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522.90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小学教育</w:t>
            </w:r>
          </w:p>
        </w:tc>
        <w:tc>
          <w:tcPr>
            <w:tcW w:w="1306" w:type="dxa"/>
            <w:shd w:val="clear" w:color="auto" w:fill="auto"/>
            <w:vAlign w:val="center"/>
          </w:tcPr>
          <w:p>
            <w:pPr>
              <w:jc w:val="right"/>
              <w:rPr>
                <w:sz w:val="18"/>
                <w:szCs w:val="18"/>
              </w:rPr>
            </w:pPr>
            <w:r>
              <w:rPr>
                <w:rFonts w:hint="eastAsia" w:ascii="宋体" w:hAnsi="宋体"/>
                <w:color w:val="000000"/>
                <w:sz w:val="18"/>
                <w:szCs w:val="18"/>
              </w:rPr>
              <w:t>861.90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861.90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初中教育</w:t>
            </w:r>
          </w:p>
        </w:tc>
        <w:tc>
          <w:tcPr>
            <w:tcW w:w="1306" w:type="dxa"/>
            <w:shd w:val="clear" w:color="auto" w:fill="auto"/>
            <w:vAlign w:val="center"/>
          </w:tcPr>
          <w:p>
            <w:pPr>
              <w:jc w:val="right"/>
              <w:rPr>
                <w:sz w:val="18"/>
                <w:szCs w:val="18"/>
              </w:rPr>
            </w:pPr>
            <w:r>
              <w:rPr>
                <w:rFonts w:hint="eastAsia" w:ascii="宋体" w:hAnsi="宋体"/>
                <w:color w:val="000000"/>
                <w:sz w:val="18"/>
                <w:szCs w:val="18"/>
              </w:rPr>
              <w:t>3,018.40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3,018.40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高中教育</w:t>
            </w:r>
          </w:p>
        </w:tc>
        <w:tc>
          <w:tcPr>
            <w:tcW w:w="1306" w:type="dxa"/>
            <w:shd w:val="clear" w:color="auto" w:fill="auto"/>
            <w:vAlign w:val="center"/>
          </w:tcPr>
          <w:p>
            <w:pPr>
              <w:jc w:val="right"/>
              <w:rPr>
                <w:sz w:val="18"/>
                <w:szCs w:val="18"/>
              </w:rPr>
            </w:pPr>
            <w:r>
              <w:rPr>
                <w:rFonts w:hint="eastAsia" w:ascii="宋体" w:hAnsi="宋体"/>
                <w:color w:val="000000"/>
                <w:sz w:val="18"/>
                <w:szCs w:val="18"/>
              </w:rPr>
              <w:t>98.72</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98.72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其他普通教育支出</w:t>
            </w:r>
          </w:p>
        </w:tc>
        <w:tc>
          <w:tcPr>
            <w:tcW w:w="1306" w:type="dxa"/>
            <w:shd w:val="clear" w:color="auto" w:fill="auto"/>
            <w:vAlign w:val="center"/>
          </w:tcPr>
          <w:p>
            <w:pPr>
              <w:jc w:val="right"/>
              <w:rPr>
                <w:sz w:val="18"/>
                <w:szCs w:val="18"/>
              </w:rPr>
            </w:pPr>
            <w:r>
              <w:rPr>
                <w:rFonts w:hint="eastAsia" w:ascii="宋体" w:hAnsi="宋体"/>
                <w:color w:val="000000"/>
                <w:sz w:val="18"/>
                <w:szCs w:val="18"/>
              </w:rPr>
              <w:t>4,748.87</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4,748.87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其他教育支出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1,394.57</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1,394.57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其他教育支出</w:t>
            </w:r>
          </w:p>
        </w:tc>
        <w:tc>
          <w:tcPr>
            <w:tcW w:w="1306" w:type="dxa"/>
            <w:shd w:val="clear" w:color="auto" w:fill="auto"/>
            <w:vAlign w:val="center"/>
          </w:tcPr>
          <w:p>
            <w:pPr>
              <w:jc w:val="right"/>
              <w:rPr>
                <w:sz w:val="18"/>
                <w:szCs w:val="18"/>
              </w:rPr>
            </w:pPr>
            <w:r>
              <w:rPr>
                <w:rFonts w:hint="eastAsia" w:ascii="宋体" w:hAnsi="宋体"/>
                <w:color w:val="000000"/>
                <w:sz w:val="18"/>
                <w:szCs w:val="18"/>
              </w:rPr>
              <w:t>1,394.57</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1,394.57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3.30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巩固脱贫攻坚成果衔接乡村振兴</w:t>
            </w:r>
          </w:p>
        </w:tc>
        <w:tc>
          <w:tcPr>
            <w:tcW w:w="1306" w:type="dxa"/>
            <w:shd w:val="clear" w:color="auto" w:fill="auto"/>
            <w:vAlign w:val="center"/>
          </w:tcPr>
          <w:p>
            <w:pPr>
              <w:jc w:val="right"/>
              <w:rPr>
                <w:b/>
                <w:sz w:val="18"/>
                <w:szCs w:val="18"/>
              </w:rPr>
            </w:pPr>
            <w:r>
              <w:rPr>
                <w:rFonts w:hint="eastAsia" w:ascii="宋体" w:hAnsi="宋体"/>
                <w:b/>
                <w:color w:val="000000"/>
                <w:sz w:val="18"/>
                <w:szCs w:val="18"/>
              </w:rPr>
              <w:t>3.30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其他巩固脱贫攻坚成果衔接乡村振兴支出</w:t>
            </w:r>
          </w:p>
        </w:tc>
        <w:tc>
          <w:tcPr>
            <w:tcW w:w="1306" w:type="dxa"/>
            <w:shd w:val="clear" w:color="auto" w:fill="auto"/>
            <w:vAlign w:val="center"/>
          </w:tcPr>
          <w:p>
            <w:pPr>
              <w:jc w:val="right"/>
              <w:rPr>
                <w:sz w:val="18"/>
                <w:szCs w:val="18"/>
              </w:rPr>
            </w:pPr>
            <w:r>
              <w:rPr>
                <w:rFonts w:hint="eastAsia" w:ascii="宋体" w:hAnsi="宋体"/>
                <w:color w:val="000000"/>
                <w:sz w:val="18"/>
                <w:szCs w:val="18"/>
              </w:rPr>
              <w:t>3.30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其他支出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108.42</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108.42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其他支出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108.42</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108.42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其他支出</w:t>
            </w:r>
          </w:p>
        </w:tc>
        <w:tc>
          <w:tcPr>
            <w:tcW w:w="1306" w:type="dxa"/>
            <w:shd w:val="clear" w:color="auto" w:fill="auto"/>
            <w:vAlign w:val="center"/>
          </w:tcPr>
          <w:p>
            <w:pPr>
              <w:jc w:val="right"/>
              <w:rPr>
                <w:sz w:val="18"/>
                <w:szCs w:val="18"/>
              </w:rPr>
            </w:pPr>
            <w:r>
              <w:rPr>
                <w:rFonts w:hint="eastAsia" w:ascii="宋体" w:hAnsi="宋体"/>
                <w:color w:val="000000"/>
                <w:sz w:val="18"/>
                <w:szCs w:val="18"/>
              </w:rPr>
              <w:t>108.42</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108.42</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编制部门：策勒县教育局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4,434.87</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4,434.87</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4,434.87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4,434.87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4,434.87</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4,434.87</w:t>
            </w:r>
          </w:p>
        </w:tc>
        <w:tc>
          <w:tcPr>
            <w:tcW w:w="1063" w:type="dxa"/>
            <w:gridSpan w:val="2"/>
            <w:shd w:val="clear" w:color="auto" w:fill="auto"/>
          </w:tcPr>
          <w:p>
            <w:pPr>
              <w:jc w:val="right"/>
              <w:rPr>
                <w:sz w:val="18"/>
                <w:szCs w:val="18"/>
              </w:rPr>
            </w:pPr>
            <w:r>
              <w:rPr>
                <w:rFonts w:hint="eastAsia" w:ascii="宋体" w:hAnsi="宋体"/>
                <w:b/>
                <w:color w:val="000000"/>
                <w:sz w:val="18"/>
                <w:szCs w:val="18"/>
              </w:rPr>
              <w:t>4,434.87</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编制部门：策勒县教育局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4,434.87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849.49</w:t>
            </w:r>
          </w:p>
        </w:tc>
        <w:tc>
          <w:tcPr>
            <w:tcW w:w="1427" w:type="dxa"/>
            <w:shd w:val="clear" w:color="auto" w:fill="auto"/>
            <w:vAlign w:val="center"/>
          </w:tcPr>
          <w:p>
            <w:pPr>
              <w:jc w:val="right"/>
              <w:rPr>
                <w:b/>
                <w:sz w:val="18"/>
                <w:szCs w:val="18"/>
              </w:rPr>
            </w:pPr>
            <w:r>
              <w:rPr>
                <w:rFonts w:hint="eastAsia" w:ascii="宋体" w:hAnsi="宋体"/>
                <w:b/>
                <w:color w:val="000000"/>
                <w:sz w:val="18"/>
                <w:szCs w:val="18"/>
              </w:rPr>
              <w:t>3,585.38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4,434.87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849.49</w:t>
            </w:r>
          </w:p>
        </w:tc>
        <w:tc>
          <w:tcPr>
            <w:tcW w:w="1427" w:type="dxa"/>
            <w:shd w:val="clear" w:color="auto" w:fill="auto"/>
            <w:vAlign w:val="center"/>
          </w:tcPr>
          <w:p>
            <w:pPr>
              <w:jc w:val="right"/>
              <w:rPr>
                <w:b/>
                <w:sz w:val="18"/>
                <w:szCs w:val="18"/>
              </w:rPr>
            </w:pPr>
            <w:r>
              <w:rPr>
                <w:rFonts w:hint="eastAsia" w:ascii="宋体" w:hAnsi="宋体"/>
                <w:b/>
                <w:color w:val="000000"/>
                <w:sz w:val="18"/>
                <w:szCs w:val="18"/>
              </w:rPr>
              <w:t>3,585.38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教育管理事务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849.49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849.49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849.49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849.49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普通教育</w:t>
            </w:r>
          </w:p>
        </w:tc>
        <w:tc>
          <w:tcPr>
            <w:tcW w:w="1367" w:type="dxa"/>
            <w:shd w:val="clear" w:color="auto" w:fill="auto"/>
            <w:vAlign w:val="center"/>
          </w:tcPr>
          <w:p>
            <w:pPr>
              <w:jc w:val="right"/>
              <w:rPr>
                <w:b/>
                <w:sz w:val="18"/>
                <w:szCs w:val="18"/>
              </w:rPr>
            </w:pPr>
            <w:r>
              <w:rPr>
                <w:rFonts w:hint="eastAsia" w:ascii="宋体" w:hAnsi="宋体"/>
                <w:b/>
                <w:color w:val="000000"/>
                <w:sz w:val="18"/>
                <w:szCs w:val="18"/>
              </w:rPr>
              <w:t>3,585.38</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3,585.38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学前教育</w:t>
            </w:r>
          </w:p>
        </w:tc>
        <w:tc>
          <w:tcPr>
            <w:tcW w:w="1367" w:type="dxa"/>
            <w:shd w:val="clear" w:color="auto" w:fill="auto"/>
            <w:vAlign w:val="center"/>
          </w:tcPr>
          <w:p>
            <w:pPr>
              <w:jc w:val="right"/>
              <w:rPr>
                <w:sz w:val="18"/>
                <w:szCs w:val="18"/>
              </w:rPr>
            </w:pPr>
            <w:r>
              <w:rPr>
                <w:rFonts w:hint="eastAsia" w:ascii="宋体" w:hAnsi="宋体"/>
                <w:color w:val="000000"/>
                <w:sz w:val="18"/>
                <w:szCs w:val="18"/>
              </w:rPr>
              <w:t>366.38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366.38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初中教育</w:t>
            </w:r>
          </w:p>
        </w:tc>
        <w:tc>
          <w:tcPr>
            <w:tcW w:w="1367" w:type="dxa"/>
            <w:shd w:val="clear" w:color="auto" w:fill="auto"/>
            <w:vAlign w:val="center"/>
          </w:tcPr>
          <w:p>
            <w:pPr>
              <w:jc w:val="right"/>
              <w:rPr>
                <w:sz w:val="18"/>
                <w:szCs w:val="18"/>
              </w:rPr>
            </w:pPr>
            <w:r>
              <w:rPr>
                <w:rFonts w:hint="eastAsia" w:ascii="宋体" w:hAnsi="宋体"/>
                <w:color w:val="000000"/>
                <w:sz w:val="18"/>
                <w:szCs w:val="18"/>
              </w:rPr>
              <w:t>2,546.00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2,546.00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其他普通教育支出</w:t>
            </w:r>
          </w:p>
        </w:tc>
        <w:tc>
          <w:tcPr>
            <w:tcW w:w="1367" w:type="dxa"/>
            <w:shd w:val="clear" w:color="auto" w:fill="auto"/>
            <w:vAlign w:val="center"/>
          </w:tcPr>
          <w:p>
            <w:pPr>
              <w:jc w:val="right"/>
              <w:rPr>
                <w:sz w:val="18"/>
                <w:szCs w:val="18"/>
              </w:rPr>
            </w:pPr>
            <w:r>
              <w:rPr>
                <w:rFonts w:hint="eastAsia" w:ascii="宋体" w:hAnsi="宋体"/>
                <w:color w:val="000000"/>
                <w:sz w:val="18"/>
                <w:szCs w:val="18"/>
              </w:rPr>
              <w:t>673.00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673.00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编制部门：策勒县教育局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849.49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825.45</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777.68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777.68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197.55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197.55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193.32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193.32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102.52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102.52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92.61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92.61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81.57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81.57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8.86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8.86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33.14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33.14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3.39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3.39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3.53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3.53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61.18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61.18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24.04</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4.54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47.77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47.77</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30.62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30.62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04</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抚恤金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16.00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1.15</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编制部门：策勒县教育局</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pPr>
              <w:jc w:val="right"/>
              <w:rPr>
                <w:b/>
                <w:sz w:val="18"/>
                <w:szCs w:val="18"/>
              </w:rPr>
            </w:pPr>
            <w:r>
              <w:rPr>
                <w:rFonts w:hint="default" w:ascii="宋体" w:hAnsi="宋体"/>
                <w:b/>
                <w:kern w:val="0"/>
                <w:sz w:val="13"/>
                <w:szCs w:val="13"/>
              </w:rPr>
              <w:t>603.00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70.00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2,912.38</w:t>
            </w: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策勒县教育局</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pPr>
              <w:jc w:val="right"/>
              <w:rPr>
                <w:b/>
                <w:sz w:val="18"/>
                <w:szCs w:val="18"/>
              </w:rPr>
            </w:pPr>
            <w:r>
              <w:rPr>
                <w:rFonts w:hint="default" w:ascii="宋体" w:hAnsi="宋体"/>
                <w:b/>
                <w:kern w:val="0"/>
                <w:sz w:val="13"/>
                <w:szCs w:val="13"/>
              </w:rPr>
              <w:t>603.00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70.00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2,912.38</w:t>
            </w: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教育支出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pPr>
              <w:jc w:val="right"/>
              <w:rPr>
                <w:b/>
                <w:sz w:val="18"/>
                <w:szCs w:val="18"/>
              </w:rPr>
            </w:pPr>
            <w:r>
              <w:rPr>
                <w:rFonts w:hint="default" w:ascii="宋体" w:hAnsi="宋体"/>
                <w:b/>
                <w:kern w:val="0"/>
                <w:sz w:val="13"/>
                <w:szCs w:val="13"/>
              </w:rPr>
              <w:t>603.00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70.00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2,912.38</w:t>
            </w: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02</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普通教育</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pPr>
              <w:jc w:val="right"/>
              <w:rPr>
                <w:b/>
                <w:sz w:val="18"/>
                <w:szCs w:val="18"/>
              </w:rPr>
            </w:pPr>
            <w:r>
              <w:rPr>
                <w:rFonts w:hint="default" w:ascii="宋体" w:hAnsi="宋体"/>
                <w:b/>
                <w:kern w:val="0"/>
                <w:sz w:val="13"/>
                <w:szCs w:val="13"/>
              </w:rPr>
              <w:t>603.00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70.00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2,912.38</w:t>
            </w: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学前教育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和地财教【2023】73号2024年园舍维修项目资金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366.38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366.38</w:t>
            </w: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和地财教【2023】73号巩固教育脱贫攻坚成果同乡村振兴有效衔接资金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483.00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483.00</w:t>
            </w: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和地财教【2023】63号中央义务教育薄弱环节改善与能力提升补助资金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1,120.00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1,120.00</w:t>
            </w: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03</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和地财教【2023】60号2024年校舍安全保障经费（中央直达资金）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943.00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943.00</w:t>
            </w: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和地财教【2023】60号特岗教师工资性补助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603.00</w:t>
            </w:r>
          </w:p>
        </w:tc>
        <w:tc>
          <w:tcPr>
            <w:tcW w:w="881" w:type="dxa"/>
            <w:shd w:val="clear" w:color="auto" w:fill="auto"/>
            <w:vAlign w:val="center"/>
          </w:tcPr>
          <w:p>
            <w:pPr>
              <w:jc w:val="right"/>
              <w:rPr>
                <w:sz w:val="18"/>
                <w:szCs w:val="18"/>
              </w:rPr>
            </w:pPr>
            <w:r>
              <w:rPr>
                <w:rFonts w:hint="default" w:ascii="宋体" w:hAnsi="宋体"/>
                <w:kern w:val="0"/>
                <w:sz w:val="13"/>
                <w:szCs w:val="13"/>
              </w:rPr>
              <w:t>603.00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和地财教【2023】62号2024年“三区”人才计划教师补助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60.00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60.00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和地财教【2023】62号2024年银龄讲学补助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编制部门：策勒县教育局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策勒县教育局2024年没有使用政府性基金预算拨款安排的支出，政府性基金预算支出情况表为空表。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编制部门：策勒县教育局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策勒县教育局2024年没有使用国有资本经营预算拨款安排的支出，国有资本经营预算支出情况表为空表。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9725" w:type="dxa"/>
        <w:jc w:val="center"/>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编制部门：策勒县教育局</w:t>
            </w:r>
          </w:p>
        </w:tc>
        <w:tc>
          <w:tcPr>
            <w:tcW w:w="1374"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pPr>
              <w:jc w:val="center"/>
              <w:rPr>
                <w:rFonts w:hint="default" w:ascii="宋体" w:hAnsi="宋体"/>
                <w:color w:val="000000"/>
                <w:sz w:val="18"/>
                <w:szCs w:val="18"/>
              </w:rPr>
            </w:pPr>
          </w:p>
        </w:tc>
        <w:tc>
          <w:tcPr>
            <w:tcW w:w="1375" w:type="dxa"/>
            <w:vMerge w:val="continue"/>
            <w:shd w:val="clear" w:color="auto" w:fill="auto"/>
            <w:vAlign w:val="center"/>
          </w:tcPr>
          <w:p>
            <w:pPr>
              <w:jc w:val="center"/>
              <w:rPr>
                <w:rFonts w:hint="default" w:ascii="宋体" w:hAnsi="宋体"/>
                <w:color w:val="000000"/>
                <w:sz w:val="18"/>
                <w:szCs w:val="18"/>
              </w:rPr>
            </w:pPr>
          </w:p>
        </w:tc>
        <w:tc>
          <w:tcPr>
            <w:tcW w:w="1375"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227"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375"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375"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374"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374"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3.00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3.00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3.00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3.00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编制部门：策勒县教育局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项目名称</w:t>
            </w:r>
          </w:p>
        </w:tc>
        <w:tc>
          <w:tcPr>
            <w:tcW w:w="1247" w:type="dxa"/>
            <w:vMerge w:val="restart"/>
            <w:shd w:val="clear" w:color="auto" w:fill="auto"/>
            <w:vAlign w:val="center"/>
          </w:tcPr>
          <w:p>
            <w:pPr>
              <w:jc w:val="center"/>
              <w:rPr>
                <w:sz w:val="18"/>
                <w:szCs w:val="18"/>
              </w:rPr>
            </w:pPr>
            <w:r>
              <w:rPr>
                <w:rFonts w:hint="eastAsia"/>
                <w:sz w:val="18"/>
                <w:szCs w:val="18"/>
              </w:rPr>
              <w:t>总计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7,171.70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策勒县教育局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7,171.70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和地财教【2019】3号提前下达2019年改善普通高中学校办学条件补助资金第一中学煤改电锅炉建设项目（上级专项）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85.35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85.35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85.35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和地财教【2019】84号义务教育薄弱环节改善与能力提升资金（上级专项）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51.22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51.22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51.22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和地财教【2019】10号南疆四地州深度贫困地区教育脱贫攻坚项目策勒县第四中学项目（上级专项）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92.50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92.50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92.50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和地财建【2019】91号教育现代化推进工程策勒县第一中学教学楼、浴室、宿舍食堂、厕所建设项目（上级专项）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和地财建【2019】91号教育现代化推进工程策勒乡琼库勒小学建设项目、达玛沟中心小学教学及辅助用房建设项目（上级专项）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21.36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21.36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21.36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和地财教【2019】26号安全保障补助资金第四中学食堂建设项目（上级专项）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53.99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53.99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53.99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和地财建【2020】82号策勒县中小学集中改厕项目（上级专项）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和地财教【2020】34号2020年义务教育薄弱环节改善与能力提升中央补助资金第二批（上级专项）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75.93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75.93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75.93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和地财教【2019】111号2020年校舍安全保障长效机制项目（上级专项）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96.45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96.45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96.45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和地财建【2020】82号2020年和田地区教育现代化推进工程策勒县策勒乡托帕学校宿舍建设项目（上级专项）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98.27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98.27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98.27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和地财教【2020】35号2020年园舍维修改造项目（上级专项）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168.42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168.42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168.42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和地财教【2021】10号2021年改善普通高中学校办学条件补助资金策勒县第一中学学生宿舍及附属建设项目（上级专项）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13.37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13.37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13.37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和地财教【2021】8号2021年义务教育薄弱环节改善与能力提升补助资金策勒县策勒乡中心小学学生宿舍及附属建设项目（上级专项）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214.98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214.98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214.98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和地财教【2021】12号2021年新疆西藏等地区教育特殊补助资金2021年园舍维修项目（上级专项）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96.19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96.19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96.19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和地财教【2021】51号义务教育薄弱环节改善与能力提升项目策勒县第四中学教学楼建设项目（上级专项）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41.51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41.51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41.51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和地财教【2021】57号2021年新疆西藏等地区教育特殊补助资金教育系统博斯坦乡亚喀喀什小学等8所学校电锅炉采购及安装项目（上级专项）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163.00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163.00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163.00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和地财教【2020】58号2021年城乡义务教育项目资金（上级专项直达资金）达玛沟中心小学学生宿舍建设项目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19.76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19.76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19.76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和地财教【2019】122号2020年义务教育薄弱环节改善与能力提升（上级专项）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282.04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282.04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282.04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和地财教【2021】53号2021年城乡义务教育项目第二批达玛沟中心小学等学校维修及供暖改造项目（上级专项）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和地财教【2021】37号“三区”人才计划教师补助经费（上级专项）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19.58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19.58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19.58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特定目标27103037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特定目标2710304T</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6.13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6.13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6.13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特定目标2710305E</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0.07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特定目标2710307M</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17.59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17.59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17.59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特定目标27103089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特定目标27103108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特定目标2710311U</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和地财教【2022】6号校舍安全保障</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379.86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379.86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379.86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和地财教【2022】21号2022年园舍维修项目（上级专项）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76.27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76.27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76.27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和地财教【2022】22号策勒乡托帕小学学生食堂及附属建设项目（上级专项）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24.72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24.72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24.72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和地财教【2022】21号策勒县第五中学维修改造项目（上级专项）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283.45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283.45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283.45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和地财教【2022】18号义务教育薄弱环节改善与能力提升（上级专项）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499.50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499.50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499.50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和地财教【2022】17号“三区”人才计划教师专项工作补助经费（上级专项）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和地财教【2022】22号策勒县第四中学学生食堂及附属建设项目（上级专项）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52.35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52.35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52.35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和地财建【2022】19号策勒县固拉合玛镇中心小学食堂建设项目（上级专项）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541.32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541.32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541.32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和地财建【2022】19号策勒县达玛沟中心小学教学及辅助用房建设项目（上级专项）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281.90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281.90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281.90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特定目标4310001T</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特定目标48100017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特定目标4910001W</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特定目标50100011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特定目标5110001N</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和地财教〔2022〕58号2022年自治区选派南疆支教干部生活补助和工作补贴经费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和地财教【2022】50号下达2022年“三区”人才计划教师专项工作补助经费预算〔第二批〕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和地财农【2022】37号推进乡村振兴补助资金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特定目标1210019P</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特定目标12100203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特定目标1210022A</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特定目标1210023X</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特定目标1210026Q</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特定目标1210027C</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特定目标1210106A</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和地财教【2022】83号巩固教育脱贫攻坚成果同乡村振兴有效衔接资金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257.36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257.36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257.36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和地财教【2022】83号2023年园舍维修项目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9.24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9.24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9.24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和地财教【2022】85号2023年义务教育薄弱环节改善与能力提升补助资金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1,102.70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1,102.70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1,102.70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和地财教【2022】82号2023年三区人才计划教师专项工作补助经费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30.53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30.53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30.53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和地财教【2023】12号校舍安全保障</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943.00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943.00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943.00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和地财教【2023】42号2023年自治区农村学前三年免费教育保障机制经费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70.47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70.47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70.47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和地财教【2023】44号2023年城乡义务教育小学公用经费（自治区直达）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78.29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78.29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78.29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和地财教【2023】44号2023年城乡义务教育初中公用经费（自治区直达）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42.86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42.86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42.86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和地财教【2023】44号2023年城乡义务教育小学特教公用经费（自治区直达）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和地财教【2023】44号2023年城乡义务教育初中特教公用经费（自治区直达）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和地财教【2023】44号2023年城乡义务教育家庭经济困难学生生活补助（自治区直达）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70.97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70.97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70.97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和地财教【2023】23号2023年城乡义务教育（一般债券）义务教育薄弱环节改善与能力提升项目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350.00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350.00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350.00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和地财教【2023】23号2023年城乡义务教育（一般债券）义务教育农村校舍安全保障长效保障机制</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339.00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339.00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339.00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和地财教【2023】20号“三区”人才计划教师专项工作补助经费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4.32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4.32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4.32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按照全口径预算的原则，策勒县教育局2024年所有收入和支出均纳入部门预算管理。收支总预算11,606.57万元。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支出预算包括：教育支出、农林水支出、其他支出。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策勒县教育局部门收入预算11,606.57万元，其中：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一般公共预算849.49万元，占7.32%，比上年预算增加117.17万元，增长16.00%，主要原因是在职人员增加工资调增社保及公积金缴费基数调增</w:t>
      </w:r>
      <w:r>
        <w:rPr>
          <w:rFonts w:hint="eastAsia" w:ascii="仿宋" w:hAnsi="微软雅黑" w:eastAsia="仿宋"/>
          <w:sz w:val="28"/>
          <w:szCs w:val="28"/>
          <w:lang w:eastAsia="zh-CN"/>
        </w:rPr>
        <w:t>，</w:t>
      </w:r>
      <w:r>
        <w:rPr>
          <w:rFonts w:hint="eastAsia" w:ascii="仿宋" w:hAnsi="微软雅黑" w:eastAsia="仿宋"/>
          <w:sz w:val="28"/>
          <w:szCs w:val="28"/>
        </w:rPr>
        <w:t>基本支出预算经费增加。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上级一般公共预算安排的转移支付资金3,585.38万元，占30.89%，比上年预算增加3,585.38万元，增长100.00%，主要原因是本单位</w:t>
      </w:r>
      <w:r>
        <w:rPr>
          <w:rFonts w:hint="eastAsia" w:ascii="仿宋" w:hAnsi="微软雅黑" w:eastAsia="仿宋"/>
          <w:sz w:val="28"/>
          <w:szCs w:val="28"/>
          <w:lang w:eastAsia="zh-CN"/>
        </w:rPr>
        <w:t>本年增加工程建设资金</w:t>
      </w:r>
      <w:r>
        <w:rPr>
          <w:rFonts w:hint="eastAsia" w:ascii="仿宋" w:hAnsi="微软雅黑" w:eastAsia="仿宋"/>
          <w:sz w:val="28"/>
          <w:szCs w:val="28"/>
        </w:rPr>
        <w:t>增加</w:t>
      </w:r>
      <w:r>
        <w:rPr>
          <w:rFonts w:hint="eastAsia" w:ascii="仿宋" w:hAnsi="微软雅黑" w:eastAsia="仿宋"/>
          <w:sz w:val="28"/>
          <w:szCs w:val="28"/>
          <w:lang w:eastAsia="zh-CN"/>
        </w:rPr>
        <w:t>、</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政府性基金预算0.00万元，占0.00%，比上年预算增加0.00万元，增长0.00%，主要原因是本单位政府性基金预算未安排。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国有资本经营预算0.00万元，占0.00%，比上年预算增加0.00万元，增长0.00%，主要原因是国有资本经营预算未安排。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财政拨款结转7,171.70万元，占61.79%，比上年预算增加323.43万元，增长4.72%，主要原因是本单位上年划转</w:t>
      </w:r>
      <w:r>
        <w:rPr>
          <w:rFonts w:hint="eastAsia" w:ascii="仿宋" w:hAnsi="微软雅黑" w:eastAsia="仿宋"/>
          <w:sz w:val="28"/>
          <w:szCs w:val="28"/>
          <w:lang w:eastAsia="zh-CN"/>
        </w:rPr>
        <w:t>工作队经费、建设项目、园舍维修资金、办学条件改造等资金增加导致</w:t>
      </w:r>
      <w:r>
        <w:rPr>
          <w:rFonts w:hint="eastAsia" w:ascii="仿宋" w:hAnsi="微软雅黑" w:eastAsia="仿宋"/>
          <w:sz w:val="28"/>
          <w:szCs w:val="28"/>
        </w:rPr>
        <w:t>预算增加。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策勒县教育局2024年支出预算11,606.57万元，其中：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基本支出849.49万元，占7.32%，比上年预算增加117.17万元，增长16.00%，主要原因是在职人员增加工资调增社保及公积金缴费基数调增</w:t>
      </w:r>
      <w:r>
        <w:rPr>
          <w:rFonts w:hint="eastAsia" w:ascii="仿宋" w:hAnsi="微软雅黑" w:eastAsia="仿宋"/>
          <w:sz w:val="28"/>
          <w:szCs w:val="28"/>
          <w:lang w:eastAsia="zh-CN"/>
        </w:rPr>
        <w:t>，</w:t>
      </w:r>
      <w:r>
        <w:rPr>
          <w:rFonts w:hint="eastAsia" w:ascii="仿宋" w:hAnsi="微软雅黑" w:eastAsia="仿宋"/>
          <w:sz w:val="28"/>
          <w:szCs w:val="28"/>
        </w:rPr>
        <w:t>基本支出预算经费增加。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项目支出10,757.08万元，占92.68%，比上年预算增加3,908.81万元，增长57.08%，主要原因是本单位上年划转</w:t>
      </w:r>
      <w:r>
        <w:rPr>
          <w:rFonts w:hint="eastAsia" w:ascii="仿宋" w:hAnsi="微软雅黑" w:eastAsia="仿宋"/>
          <w:sz w:val="28"/>
          <w:szCs w:val="28"/>
          <w:lang w:eastAsia="zh-CN"/>
        </w:rPr>
        <w:t>建设项目、园舍维修资金、办学条件改造等资金增加</w:t>
      </w:r>
      <w:r>
        <w:rPr>
          <w:rFonts w:hint="eastAsia" w:ascii="仿宋" w:hAnsi="微软雅黑" w:eastAsia="仿宋"/>
          <w:sz w:val="28"/>
          <w:szCs w:val="28"/>
        </w:rPr>
        <w:t>导致项目预算增加。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关于策勒县教育局2024年财政拨款收支预算情况的总体说明</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策勒县教育局2024年财政拨款收支总预算4,434.87万元。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收入预算包括：一般公共预算拨款4,434.87万元。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一般公共预算支出包括：教育支出4,434.87万元，主要用于因为单位划转，与上年预算数据对比导致项目预算增加。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策勒县教育局2024年一般公共预算拨款合计4,434.87万元，其中：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基本支出849.49万元，比上年预算增加117.17万元，增长16.00%。主要原因是在职人员增加工资调增，社保及公积金缴费基数调增，基本支出预算经费增加。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项目支出3,585.38万元，比上年预算增加3,585.38万元，增长100.00%。主要原因是因为单位划转</w:t>
      </w:r>
      <w:r>
        <w:rPr>
          <w:rFonts w:hint="eastAsia" w:ascii="仿宋" w:hAnsi="微软雅黑" w:eastAsia="仿宋"/>
          <w:sz w:val="28"/>
          <w:szCs w:val="28"/>
          <w:lang w:eastAsia="zh-CN"/>
        </w:rPr>
        <w:t>建设项目、园舍维修资金、办学条件改造等资金增加</w:t>
      </w:r>
      <w:r>
        <w:rPr>
          <w:rFonts w:hint="eastAsia" w:ascii="仿宋" w:hAnsi="微软雅黑" w:eastAsia="仿宋"/>
          <w:sz w:val="28"/>
          <w:szCs w:val="28"/>
        </w:rPr>
        <w:t>导致项目预算增加。</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1、教育支出（类）4,434.87万元，占100.00%。</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教育管理事务（款）行政运行（项）：2024年预算数为849.49万元，比上年预算增加117.17万元，增长16.00%。主要原因是在职人员增加工资调增，社保及公积金缴费基数调增，基本支出预算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2、教育支出（类）普通教育（款）学前教育（项）：2024年预算数为366.38万元，比上年预算增加366.38万元，增长100.00%。主要原因是本年预算增加学前教育园舍维修改造资金项目。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教育支出（类）普通教育（款）初中教育（项）：2024年预算数为2,546.00万元，比上年预算增加2,546.00万元，增长100.00%。主要原因是上年结转义务教育薄弱环节改善与能力提升补助资金、巩固教育脱贫攻坚成果同乡村振兴有效衔接资金、校舍安全保障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4、教育支出（类）普通教育（款）其他普通教育支出（项）：2024年预算数为673.00万元，比上年预算增加673.00万元，增长100.00%。主要原因是本年预算增加三区人才支教项目、银龄讲学补助、新聘教师工资补助。</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策勒县教育局2024年一般公共预算基本支出849.49万元，其中：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825.45万元，主要包括：基本工资、津贴补贴、奖金、绩效工资、机关事业单位基本养老保险缴费、职业年金缴费、职工基本医疗保险缴费、公务员医疗补助缴费、其他社会保障缴费、住房公积金、退休费、抚恤金、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公用经费24.04万元，主要包括：办公费、取暖费、公务用车运行维护费。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（一）项目名称：特定目标0610043K</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预算安排规模：603.00万元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（二）项目名称：和地财教【2023】62号2024年“三区”人才计划教师补助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设立的政策依据：和地财教【2023】62号2024年“三区”人才计划教师补助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资金分配情况：和地财教【2023】62号2024年“三区”人才计划教师补助60.00万元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资金执行时间：2023年09月01日</w:t>
      </w:r>
      <w:r>
        <w:rPr>
          <w:rFonts w:hint="eastAsia" w:ascii="仿宋" w:hAnsi="微软雅黑" w:eastAsia="仿宋"/>
          <w:sz w:val="28"/>
          <w:szCs w:val="28"/>
          <w:lang w:eastAsia="zh-CN"/>
        </w:rPr>
        <w:t>至</w:t>
      </w:r>
      <w:r>
        <w:rPr>
          <w:rFonts w:hint="eastAsia" w:ascii="仿宋" w:hAnsi="微软雅黑" w:eastAsia="仿宋"/>
          <w:sz w:val="28"/>
          <w:szCs w:val="28"/>
          <w:lang w:val="en-US" w:eastAsia="zh-CN"/>
        </w:rPr>
        <w:t>2024年8月31日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补贴人数：“三区”人才计划教师补助30人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补贴标准：每人/每年/1.80万元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补贴范围：“三区”人才计划教师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补贴方式：我单位按照三区人才计划教师人数平均发放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发放程序：领导审批，提交财政审批，国库核拨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受益人群和社会效益：“三区”人才计划支教教师</w:t>
      </w:r>
      <w:r>
        <w:rPr>
          <w:rFonts w:hint="eastAsia" w:ascii="仿宋" w:hAnsi="微软雅黑" w:eastAsia="仿宋"/>
          <w:sz w:val="28"/>
          <w:szCs w:val="28"/>
          <w:lang w:eastAsia="zh-CN"/>
        </w:rPr>
        <w:t>，有效改善受助学校学生成绩。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（三）项目名称：和地财教【2023】62号2024年银龄讲学补助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设立的政策依据：和地财教【2023】62号2024年银龄讲学补助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资金分配情况：和地财教【2023】62号2024年银龄讲学补助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10.00万元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eastAsia="zh-CN"/>
        </w:rPr>
        <w:t>至</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补贴人数：获得2024年银龄讲学补助5人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补贴标准：每人/每年/2.00万元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补贴范围：符合条件获得2024年银龄讲学补助人员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补贴方式：我单位按照获得2024年银龄讲学补助人员平均发放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发放程序：通过2.0一体化系统支付到单位代发户发放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受益人群和社会效益：银龄讲学补助获得人员及其家属</w:t>
      </w:r>
      <w:r>
        <w:rPr>
          <w:rFonts w:hint="eastAsia" w:ascii="仿宋" w:hAnsi="微软雅黑" w:eastAsia="仿宋"/>
          <w:sz w:val="28"/>
          <w:szCs w:val="28"/>
          <w:lang w:eastAsia="zh-CN"/>
        </w:rPr>
        <w:t>，有效改善受助学校学生成绩。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（四）项目名称：和地财教【2023】73号2024年园舍维修项目资金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设立的政策依据：和地财教【2023】73号2024年园舍维修项目资金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预算安排规模：366.38万元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资金分配情况：和地财教【2023】73号2024年园舍维修项目资金</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lang w:val="en-US" w:eastAsia="zh-CN"/>
        </w:rPr>
        <w:t>3</w:t>
      </w:r>
      <w:r>
        <w:rPr>
          <w:rFonts w:hint="eastAsia" w:ascii="仿宋" w:hAnsi="微软雅黑" w:eastAsia="仿宋"/>
          <w:sz w:val="28"/>
          <w:szCs w:val="28"/>
        </w:rPr>
        <w:t>66.38万元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对策勒县第一幼儿园等21所幼儿园维修。</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pPr>
        <w:widowControl/>
        <w:spacing w:line="560" w:lineRule="exact"/>
        <w:ind w:firstLine="560" w:firstLineChars="200"/>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受益人群和社会效益：该项目实施的各幼儿园在校学生</w:t>
      </w:r>
      <w:r>
        <w:rPr>
          <w:rFonts w:hint="eastAsia" w:ascii="仿宋" w:hAnsi="微软雅黑" w:eastAsia="仿宋"/>
          <w:sz w:val="28"/>
          <w:szCs w:val="28"/>
          <w:lang w:eastAsia="zh-CN"/>
        </w:rPr>
        <w:t>，</w:t>
      </w:r>
      <w:r>
        <w:rPr>
          <w:rFonts w:hint="eastAsia" w:ascii="仿宋" w:hAnsi="微软雅黑" w:eastAsia="仿宋"/>
          <w:sz w:val="28"/>
          <w:szCs w:val="28"/>
        </w:rPr>
        <w:t>提高办学条件</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（五）项目名称：和地财教【2023】73号巩固教育脱贫攻坚成果同乡村振兴有效衔接资金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设立的政策依据：和地财教【2023】73号巩固教育脱贫攻坚成果同乡村振兴有效衔接资金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预算安排规模：483.00万元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资金分配情况：和地财教【2023】73号巩固教育脱贫攻坚成果同乡村振兴有效衔接资金483.00万元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分别为新建策勒县乌鲁克萨依乡中心小学运动场200米塑胶运动场150万元，新建策勒县第八中学运动场300米环形跑道塑胶运动场333万元。</w:t>
      </w:r>
    </w:p>
    <w:p>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受益人群和社会效益：该项目实施的在校师生，提高办学条件。</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（六）项目名称：和地财教【2023】63号中央义务教育薄弱环节改善与能力提升补助资金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设立的政策依据：和地财教【2023】63号中央义务教育薄弱环节改善与能力提升补助资金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预算安排规模：1,120.00万元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资金分配情况：和地财教【2023】63号中央义务教育薄弱环节改善与能力提升补助资金1,120.00万元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为新建策勒县第六中学购置一批教学仪器设备及供暖设备。</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受益人群和社会效益：该项目实施的在校</w:t>
      </w:r>
      <w:r>
        <w:rPr>
          <w:rFonts w:hint="eastAsia" w:ascii="仿宋" w:hAnsi="微软雅黑" w:eastAsia="仿宋"/>
          <w:sz w:val="28"/>
          <w:szCs w:val="28"/>
          <w:lang w:val="en-US" w:eastAsia="zh-CN"/>
        </w:rPr>
        <w:t>师</w:t>
      </w:r>
      <w:r>
        <w:rPr>
          <w:rFonts w:hint="eastAsia" w:ascii="仿宋" w:hAnsi="微软雅黑" w:eastAsia="仿宋"/>
          <w:sz w:val="28"/>
          <w:szCs w:val="28"/>
        </w:rPr>
        <w:t>生</w:t>
      </w:r>
      <w:r>
        <w:rPr>
          <w:rFonts w:hint="eastAsia" w:ascii="仿宋" w:hAnsi="微软雅黑" w:eastAsia="仿宋"/>
          <w:sz w:val="28"/>
          <w:szCs w:val="28"/>
          <w:lang w:eastAsia="zh-CN"/>
        </w:rPr>
        <w:t>，</w:t>
      </w:r>
      <w:r>
        <w:rPr>
          <w:rFonts w:hint="eastAsia" w:ascii="仿宋" w:hAnsi="微软雅黑" w:eastAsia="仿宋"/>
          <w:sz w:val="28"/>
          <w:szCs w:val="28"/>
        </w:rPr>
        <w:t>提高办学条件</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（七）项目名称：和地财教【2023】60号2024年校舍安全保障经费（中央直达资金）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设立的政策依据：和地财教【2023】60号2024年校舍安全保障经费（中央直达资金）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预算安排规模：943.00万元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资金分配情况：和地财教【2023】60号2024年校舍安全保障经费（中央直达资金）943.00万元</w:t>
      </w:r>
      <w:r>
        <w:rPr>
          <w:rFonts w:hint="eastAsia"/>
          <w:lang w:eastAsia="zh-CN"/>
        </w:rPr>
        <w:t>，</w:t>
      </w:r>
      <w:r>
        <w:rPr>
          <w:rFonts w:hint="eastAsia" w:ascii="仿宋" w:hAnsi="微软雅黑" w:eastAsia="仿宋"/>
          <w:sz w:val="28"/>
          <w:szCs w:val="28"/>
          <w:lang w:val="en-US" w:eastAsia="zh-CN"/>
        </w:rPr>
        <w:t>为策勒县第六中学新建教学楼一栋4000平方米。</w:t>
      </w:r>
    </w:p>
    <w:p>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受益人群和社会效益：该项目实施的在校</w:t>
      </w:r>
      <w:r>
        <w:rPr>
          <w:rFonts w:hint="eastAsia" w:ascii="仿宋" w:hAnsi="微软雅黑" w:eastAsia="仿宋"/>
          <w:sz w:val="28"/>
          <w:szCs w:val="28"/>
          <w:lang w:val="en-US" w:eastAsia="zh-CN"/>
        </w:rPr>
        <w:t>师</w:t>
      </w:r>
      <w:r>
        <w:rPr>
          <w:rFonts w:hint="eastAsia" w:ascii="仿宋" w:hAnsi="微软雅黑" w:eastAsia="仿宋"/>
          <w:sz w:val="28"/>
          <w:szCs w:val="28"/>
        </w:rPr>
        <w:t>生</w:t>
      </w:r>
      <w:r>
        <w:rPr>
          <w:rFonts w:hint="eastAsia" w:ascii="仿宋" w:hAnsi="微软雅黑" w:eastAsia="仿宋"/>
          <w:sz w:val="28"/>
          <w:szCs w:val="28"/>
          <w:lang w:eastAsia="zh-CN"/>
        </w:rPr>
        <w:t>，</w:t>
      </w:r>
      <w:r>
        <w:rPr>
          <w:rFonts w:hint="eastAsia" w:ascii="仿宋" w:hAnsi="微软雅黑" w:eastAsia="仿宋"/>
          <w:sz w:val="28"/>
          <w:szCs w:val="28"/>
        </w:rPr>
        <w:t>提高办学条件</w:t>
      </w:r>
      <w:r>
        <w:rPr>
          <w:rFonts w:hint="eastAsia" w:ascii="仿宋" w:hAnsi="微软雅黑" w:eastAsia="仿宋"/>
          <w:sz w:val="28"/>
          <w:szCs w:val="28"/>
          <w:lang w:eastAsia="zh-CN"/>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策勒县教育局2024年财政拨款“三公”经费预算数为3.00万元，其中：因公出国（境）费0.00万元，公务用车购置费0.00万元，公务用车运行费3.00万元，公务接待费0.00万元。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根据文件要求，厉行节约，压减因公出国（境）费；落实“三公”经费只减不增要求；公务用车购置费增加0.00万元，增长0.00%，主要原因是本单位严格执行八项规定相关规定，厉行节约，合理压缩公务用车购置费；公务用车运行费增加0.00万元，增长0.00%，主要原因是本单位严格执行八项规定相关规定，厉行节约，合理压缩公务用车运行费；公务接待费增加0.00万元，增长0.00%，主要原因是采取有效措施加强公务接待管理，严格控制公务接待活动，认真执行经费开支标准，减少公务接待运行成本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策勒县教育局2024年上年结转结余7,171.70万元，包括：财政拨款7,171.70万元，非财政拨款0.00万元，其中：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1．和地财建【2019】91号教育现代化推进工程策勒县第一中学教学楼、浴室、宿舍食堂、厕所建设项目（上级专项）  1.00万元，主要用于策勒县第一中学教学楼、浴室、宿舍食堂、厕所建设项目。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2．和地财建【2019】91号教育现代化推进工程策勒乡琼库勒小学建设项目、达玛沟中心小学教学及辅助用房建设项目（上级专项）  21.36万元，主要用于策勒乡琼库勒小学建设项目、达玛沟中心小学教学及辅助用房建设项目。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3．和地财建【2020】82号2020年和田地区教育现代化推进工程策勒县策勒乡托帕学校宿舍建设项目（上级专项）  98.27万元，主要用于策勒县策勒乡托帕学校宿舍建设项目。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4．和地财建【2020】82号策勒县中小学集中改厕项目（上级专项）  3.29万元，主要用于策勒县中小学集中改厕项目。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5．和地财建【2022】19号策勒县达玛沟中心小学教学及辅助用房建设项目（上级专项）  281.90万元，主要用于策勒县达玛沟中心小学教学及辅助用房建设项目。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6．和地财建【2022】19号策勒县固拉合玛镇中心小学食堂建设项目（上级专项）  541.32万元，主要用于固拉合玛镇中心小学食堂建设项目。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7．和地财教〔2022〕58号2022年自治区选派南疆支教干部生活补助和工作补贴经费  0.54万元，主要用于自治区选派南疆支教干部生活补助和工作补贴经费。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8．和地财教【2019】10号南疆四地州深度贫困地区教育脱贫攻坚项目策勒县第四中学项目（上级专项）  92.50万元，主要用于南疆四地州深度贫困地区教育脱贫攻坚项目策勒县第四中学项目。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9．和地财教【2019】111号2020年校舍安全保障长效机制项目（上级专项）  96.45万元，主要用于各级各类学校校舍安全保障长效机制项目。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10．和地财教【2019】122号2020年义务教育薄弱环节改善与能力提升（上级专项）  282.04万元，主要用于策勒县各义务教育学校薄弱环节改善与能力提升。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11．和地财教【2019】26号安全保障补助资金第四中学食堂建设项目（上级专项）  53.99万元，主要用于策勒县第四中学食堂建设项目安全保障补助资金。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12．和地财教【2019】3号提前下达2019年改善普通高中学校办学条件补助资金第一中学煤改电锅炉建设项目（上级专项）  85.35万元，主要用于改善普通高中学校办学条件补助资金第一中学煤改电锅炉建设项目。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13．和地财教【2019】84号义务教育薄弱环节改善与能力提升资金（上级专项）  51.22万元，主要用于策勒县各义务教育学校薄弱环节改善与能力提升资金。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14．和地财教【2020】34号2020年义务教育薄弱环节改善与能力提升中央补助资金第二批（上级专项）  75.93万元，主要用于第二批义务教育薄弱环节改善与能力提升中央补助资金。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15．和地财教【2020】35号2020年园舍维修改造项目（上级专项）  168.42万元，主要用于策勒县各乡镇及县直幼儿园园舍维修改造项目。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16．和地财教【2020】58号2021年城乡义务教育项目资金（上级专项直达资金）达玛沟中心小学学生宿舍建设项目  19.76万元，主要用于策勒县达玛沟乡中心小学学生宿舍建设项目。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17．和地财教【2021】10号2021年改善普通高中学校办学条件补助资金策勒县第一中学学生宿舍及附属建设项目（上级专项）  13.37万元，主要用于策勒县第一中学学生宿舍及附属建设项目。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18．和地财教【2021】12号2021年新疆西藏等地区教育特殊补助资金2021年园舍维修项目（上级专项）  96.19万元，主要用于新疆西藏等地区教育特殊补助资金园舍维修项目。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19．和地财教【2021】37号“三区”人才计划教师补助经费（上级专项）  19.58万元，主要用于三区人才计划教师补助经费。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20．和地财教【2021】51号义务教育薄弱环节改善与能力提升项目策勒县第四中学教学楼建设项目（上级专项）  41.51万元，主要用于义务教育薄弱环节改善与能力提升项目策勒县第四中学教学楼建设项目。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21．和地财教【2021】53号2021年城乡义务教育项目第二批达玛沟中心小学等学校维修及供暖改造项目（上级专项）  2.81万元，主要用于城乡义务教育项目第二批达玛沟中心小学等学校维修及供暖改造项目。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22．和地财教【2021】57号2021年新疆西藏等地区教育特殊补助资金教育系统博斯坦乡亚喀喀什小学等8所学校电锅炉采购及安装项目（上级专项）  163.00万元，主要用于博斯坦乡亚喀喀什小学等8所学校电锅炉采购及安装项目。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23．和地财教【2021】8号2021年义务教育薄弱环节改善与能力提升补助资金策勒县策勒乡中心小学学生宿舍及附属建设项目（上级专项）  214.98万元，主要用于策勒县策勒乡中心小学学生宿舍及附属建设项目。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24．和地财教【2022】17号“三区”人才计划教师专项工作补助经费（上级专项）  5.56万元，主要用于“三区”人才计划教师专项工作补助经费。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25．和地财教【2022】18号义务教育薄弱环节改善与能力提升（上级专项）  499.50万元，主要用于义务教育薄弱环节改善与能力提升。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26．和地财教【2022】21号2022年园舍维修项目（上级专项）  76.27万元，主要用于策勒县各级各类幼儿园及中小学园舍维修项目。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27．和地财教【2022】21号策勒县第五中学维修改造项目（上级专项）  283.45万元，主要用于策勒县第五中学教学楼及宿舍楼维修改造项目。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28．和地财教【2022】22号策勒县第四中学学生食堂及附属建设项目（上级专项）  52.35万元，主要用于策勒县第四中学学生食堂及附属建设项目。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29．和地财教【2022】22号策勒乡托帕小学学生食堂及附属建设项目（上级专项）  24.72万元，主要用于策勒县策勒乡托帕小学学生食堂及附属建设项目。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30．和地财教【2022】50号下达2022年“三区”人才计划教师专项工作补助经费预算〔第二批〕  7.00万元，主要用于“三区”人才计划教师专项工作补助经费。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31．和地财教【2022】6号校舍安全保障  379.86万元，主要用于策勒县各级各类学校校舍安全保障项目。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32．和地财教【2022】82号2023年三区人才计划教师专项工作补助经费  30.53万元，主要用于三区人才计划教师专项工作补助经费。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33．和地财教【2022】83号2023年园舍维修项目  9.24万元，主要用于策勒县各级各类学校校舍安全保障项目。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34．和地财教【2022】83号巩固教育脱贫攻坚成果同乡村振兴有效衔接资金  257.36万元，主要用于巩固教育脱贫攻坚成果同乡村振兴有效衔接资金。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35．和地财教【2022】85号2023年义务教育薄弱环节改善与能力提升补助资金  1,102.70万元，主要用于策勒县义务教育薄弱环节改善与能力提升补助资金。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36．和地财教【2023】12号校舍安全保障  943.00万元，主要用于策勒县各级各类学校校舍安全保障项目。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37．和地财教【2023】20号“三区”人才计划教师专项工作补助经费  4.32万元，主要用于“三区”人才计划教师专项工作补助经费。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38．和地财教【2023】23号2023年城乡义务教育（一般债券）义务教育薄弱环节改善与能力提升项目  350.00万元，主要用于城乡义务教育（一般债券）义务教育薄弱环节改善与能力提升项目。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39．和地财教【2023】23号2023年城乡义务教育（一般债券）义务教育农村校舍安全保障长效保障机制  339.00万元，主要用于城乡义务教育（一般债券）义务教育农村校舍安全保障长效保障机制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40．和地财教【2023】42号2023年自治区农村学前三年免费教育保障机制经费  70.47万元，主要用于2023年自治区农村学前三年免费教育保障机制经费。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41．和地财教【2023】44号2023年城乡义务教育初中公用经费（自治区直达）  42.86万元，主要用于2023年城乡义务教育初中公用经费（自治区直达）。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42．和地财教【2023】44号2023年城乡义务教育初中特教公用经费（自治区直达）  2.21万元，主要用于2023年城乡义务教育初中特教公用经费（自治区直达）。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43．和地财教【2023】44号2023年城乡义务教育家庭经济困难学生生活补助（自治区直达）  70.97万元，主要用于2023年城乡义务教育家庭经济困难学生生活补助。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44．和地财教【2023】44号2023年城乡义务教育小学公用经费（自治区直达）  78.29万元，主要用于2023年城乡义务教育小学公用经费（自治区直达）。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45．和地财教【2023】44号2023年城乡义务教育小学特教公用经费（自治区直达）  5.52万元，主要用于2023年城乡义务教育小学特教公用经费（自治区直达）。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46．和地财农【2022】37号推进乡村振兴补助资金  3.30万元，主要用于推进乡村振兴补助资金。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47．特定目标1210019P  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48．特定目标12100203  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49．特定目标1210022A  10.00万元，完全不予公开。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50．特定目标1210023X  5.00万元，完全不予公开。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51．特定目标1210026Q  5.00万元，完全不予公开。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52．特定目标1210027C  5.00万元，完全不予公开。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53．特定目标1210106A  15.00万元，完全不予公开。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54．特定目标27103037  2.50万元，完全不予公开。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55．特定目标2710304T  6.13万元，完全不予公开。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56．特定目标2710305E  0.07万元，完全不予公开。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57．特定目标2710307M  17.59万元，完全不予公开。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58．特定目标27103089  2.50万元，完全不予公开。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59．特定目标27103108  3.50万元，完全不予公开。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60．特定目标2710311U  6.00万元，完全不予公开。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61．特定目标4310001T  12.50万元，完全不予公开。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62．特定目标48100017  4.00万元，完全不予公开。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63．特定目标4910001W  2.00万元，完全不予公开。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64．特定目标50100011  2.64万元，完全不予公开。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65．特定目标5110001N  5.00万元，完全不予公开。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策勒县教育局2024年的机关运行经费财政拨款预算24.04万元，比上年预算减少12.50万元，下降34.21%。主要原因是认真贯彻落实厉行节约的各项规定，维持正常运转，严格执行厉行节约八项规定，压减各项经费支出。</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2024年，策勒县教育局政府采购预算2,917.58万元，其中：政府采购货物预算2.20万元，政府采购工程预算2,912.38万元，政府采购服务预算3.00万元。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2024年，策勒县教育局面向中小企业预留政府采购项目预算金额5.20万元，小微企业预留政府采购项目预算金额851.58万元。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截至2023年底，策勒县教育局占用使用国有资产总体情况为：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1.房屋13,641.60平方米，价值1,156.43万元。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2.车辆2辆，价值37.16万元；其中：一般公务用车0辆，价值0.00万元；执法执勤用车0辆，价值0.00万元；其他车辆0辆，价值0.00万元。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3.办公家具价值148.12万元。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4.其他资产价值516.95万元。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单位价值50万元以上大型设备0台，单位价值100万元以上大型设备0套。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2024年，本部门预算绩效管理整体预算绩效目标1个，涉及金额849.49万元；当年财政拨款项目7个，涉及预算金额3,585.38万元；当年非财政拨款项目0个，涉及预算金额0.00万元。具体情况见下表（按项目分别填报）：</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策勒县人民政府教育局本级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艾合麦提江·安外尔</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18099051234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全面贯彻执行党和国家有关教育工作的方针政策、法律法规。负责各级各类教育的统筹规划和协调管理，会同有关部门制定各级各类学校的设置标准，指导各级各类学校的教育教学改革，负责教育基本信息的统计、分析和发布。负责推进义务教育均衡发展和促进教育公平。保障部门人员工资正常发放，在职40人，退休21人。保障部门2辆车正常运转，统筹维护全县教育事业正常运行，保障全县教职工的正常福利及少年儿童合法公平接受教育的机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849.49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管理效率</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督导全县各级各类学校教育教学工作</w:t>
            </w:r>
          </w:p>
        </w:tc>
        <w:tc>
          <w:tcPr>
            <w:tcW w:w="1448" w:type="dxa"/>
            <w:gridSpan w:val="2"/>
            <w:shd w:val="clear" w:color="auto" w:fill="auto"/>
            <w:vAlign w:val="center"/>
          </w:tcPr>
          <w:p>
            <w:pPr>
              <w:jc w:val="center"/>
              <w:rPr>
                <w:sz w:val="18"/>
                <w:szCs w:val="18"/>
              </w:rPr>
            </w:pPr>
            <w:r>
              <w:rPr>
                <w:rFonts w:hint="eastAsia"/>
                <w:sz w:val="18"/>
                <w:szCs w:val="18"/>
              </w:rPr>
              <w:t>=35所</w:t>
            </w:r>
          </w:p>
        </w:tc>
        <w:tc>
          <w:tcPr>
            <w:tcW w:w="1360" w:type="dxa"/>
            <w:shd w:val="clear" w:color="auto" w:fill="auto"/>
            <w:vAlign w:val="center"/>
          </w:tcPr>
          <w:p>
            <w:pPr>
              <w:jc w:val="center"/>
              <w:rPr>
                <w:sz w:val="18"/>
                <w:szCs w:val="18"/>
              </w:rPr>
            </w:pPr>
            <w:r>
              <w:rPr>
                <w:rFonts w:hint="eastAsia"/>
                <w:sz w:val="18"/>
                <w:szCs w:val="18"/>
              </w:rPr>
              <w:t>自治区教育督导条例</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保障少年儿童合法公平接受免费教育</w:t>
            </w:r>
          </w:p>
        </w:tc>
        <w:tc>
          <w:tcPr>
            <w:tcW w:w="1448" w:type="dxa"/>
            <w:gridSpan w:val="2"/>
            <w:shd w:val="clear" w:color="auto" w:fill="auto"/>
            <w:vAlign w:val="center"/>
          </w:tcPr>
          <w:p>
            <w:pPr>
              <w:jc w:val="center"/>
              <w:rPr>
                <w:sz w:val="18"/>
                <w:szCs w:val="18"/>
              </w:rPr>
            </w:pPr>
            <w:r>
              <w:rPr>
                <w:rFonts w:hint="eastAsia"/>
                <w:sz w:val="18"/>
                <w:szCs w:val="18"/>
              </w:rPr>
              <w:t>=6889名</w:t>
            </w:r>
          </w:p>
        </w:tc>
        <w:tc>
          <w:tcPr>
            <w:tcW w:w="1360" w:type="dxa"/>
            <w:shd w:val="clear" w:color="auto" w:fill="auto"/>
            <w:vAlign w:val="center"/>
          </w:tcPr>
          <w:p>
            <w:pPr>
              <w:jc w:val="center"/>
              <w:rPr>
                <w:sz w:val="18"/>
                <w:szCs w:val="18"/>
              </w:rPr>
            </w:pPr>
            <w:r>
              <w:rPr>
                <w:rFonts w:hint="eastAsia"/>
                <w:sz w:val="18"/>
                <w:szCs w:val="18"/>
              </w:rPr>
              <w:t>中华人民共和国义务教育法</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统筹分配学生教学经费和各项补助</w:t>
            </w:r>
          </w:p>
        </w:tc>
        <w:tc>
          <w:tcPr>
            <w:tcW w:w="1448" w:type="dxa"/>
            <w:gridSpan w:val="2"/>
            <w:shd w:val="clear" w:color="auto" w:fill="auto"/>
            <w:vAlign w:val="center"/>
          </w:tcPr>
          <w:p>
            <w:pPr>
              <w:jc w:val="center"/>
              <w:rPr>
                <w:sz w:val="18"/>
                <w:szCs w:val="18"/>
              </w:rPr>
            </w:pPr>
            <w:r>
              <w:rPr>
                <w:rFonts w:hint="eastAsia"/>
                <w:sz w:val="18"/>
                <w:szCs w:val="18"/>
              </w:rPr>
              <w:t>=43392名</w:t>
            </w:r>
          </w:p>
        </w:tc>
        <w:tc>
          <w:tcPr>
            <w:tcW w:w="1360" w:type="dxa"/>
            <w:shd w:val="clear" w:color="auto" w:fill="auto"/>
            <w:vAlign w:val="center"/>
          </w:tcPr>
          <w:p>
            <w:pPr>
              <w:jc w:val="center"/>
              <w:rPr>
                <w:sz w:val="18"/>
                <w:szCs w:val="18"/>
              </w:rPr>
            </w:pPr>
            <w:r>
              <w:rPr>
                <w:rFonts w:hint="eastAsia"/>
                <w:sz w:val="18"/>
                <w:szCs w:val="18"/>
              </w:rPr>
              <w:t>教育事业统计报表</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享受各项资助补助政策学生数</w:t>
            </w:r>
          </w:p>
        </w:tc>
        <w:tc>
          <w:tcPr>
            <w:tcW w:w="1448" w:type="dxa"/>
            <w:gridSpan w:val="2"/>
            <w:shd w:val="clear" w:color="auto" w:fill="auto"/>
            <w:vAlign w:val="center"/>
          </w:tcPr>
          <w:p>
            <w:pPr>
              <w:jc w:val="center"/>
              <w:rPr>
                <w:sz w:val="18"/>
                <w:szCs w:val="18"/>
              </w:rPr>
            </w:pPr>
            <w:r>
              <w:rPr>
                <w:rFonts w:hint="eastAsia"/>
                <w:sz w:val="18"/>
                <w:szCs w:val="18"/>
              </w:rPr>
              <w:t>=43392名</w:t>
            </w:r>
          </w:p>
        </w:tc>
        <w:tc>
          <w:tcPr>
            <w:tcW w:w="1360" w:type="dxa"/>
            <w:shd w:val="clear" w:color="auto" w:fill="auto"/>
            <w:vAlign w:val="center"/>
          </w:tcPr>
          <w:p>
            <w:pPr>
              <w:jc w:val="center"/>
              <w:rPr>
                <w:sz w:val="18"/>
                <w:szCs w:val="18"/>
              </w:rPr>
            </w:pPr>
            <w:r>
              <w:rPr>
                <w:rFonts w:hint="eastAsia"/>
                <w:sz w:val="18"/>
                <w:szCs w:val="18"/>
              </w:rPr>
              <w:t>自治区学生资助资金管理办法</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全县适龄儿童义务教育入学率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自治区党委、地委关于义务教育阶段空辍保学工作要求</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全县教育系统内推广普通话</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自治区语言文字工作条例</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建设教师队伍提高师德师风</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中小学教师道德行为规范管理条例</w:t>
            </w:r>
          </w:p>
        </w:tc>
        <w:tc>
          <w:tcPr>
            <w:tcW w:w="1360" w:type="dxa"/>
            <w:shd w:val="clear" w:color="auto" w:fill="auto"/>
            <w:vAlign w:val="center"/>
          </w:tcPr>
          <w:p>
            <w:pPr>
              <w:jc w:val="center"/>
              <w:rPr>
                <w:sz w:val="18"/>
                <w:szCs w:val="18"/>
              </w:rPr>
            </w:pPr>
            <w:r>
              <w:rPr>
                <w:rFonts w:hint="eastAsia"/>
                <w:sz w:val="18"/>
                <w:szCs w:val="18"/>
              </w:rPr>
              <w:t>10</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策勒县人民政府教育局本级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和地财教【2023】60号2024年校舍安全保障经费（中央直达资金）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巴音巴特·哈什巴根那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943.00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943.00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策勒县第六中学建设项目可行性研究报告的批复》及《关于提前下达2024年城乡义务教育补助经费预算（中央直达资金）的通知》和地财教〔2023〕60号文件实施本项目。主要实施内容为新建策勒县第六中学建设项目教学楼一栋，4000平方米，进一步保障全区校舍安全。通过项目的实施，做好公办学校维修改造、抗震加固、改扩建校舍及其附属设施建设，提高学校教学环境质量。</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涉及学校数量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＞=1所</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新建教学楼面积</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＞=4000平方米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新建教学楼验收合格率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工程按期开工率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项目投入成本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＜=943万元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改善广大师生的教学环境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教职工满意度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策勒县人民政府教育局本级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和地财教【2023】62号2024年“三区”人才计划教师补助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阿依努阿尔·麦提尼亚孜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下达和地财教【2023】62号2024年“三区”人才计划教师补助预算（自治区直达资金）通知通知》实施本项目。主要实施内容为支教山区学校、人数30人。通过实施本项目通过实施本项目解决山区学校教师短缺问题，进一步提高山区学校教育教学工作，实现精准支教、应支尽支。</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支持教学名师数量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资金使用合规率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“三区”人才计划教师补助资金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提高受援学校学生成绩</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受援学校满意度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策勒县人民政府教育局本级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和地财教【2023】62号2024年银龄讲学补助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阿依努阿尔·麦提尼亚孜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下达2024年银龄讲学补助预算（自治区直达资金）通知》实施本项目。主要实施内容为发放银龄讲学补助、补助人数5人，通过实施本项目结合经济社会发展和人民生活水平变化等情况，进一步做好银龄讲学工作，实现精准聘用。</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银龄讲学补助人数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资金使用合规率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银龄讲学补助资金</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聘用学校教育教学成绩有效提高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发放补助人员满意度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策勒县人民政府教育局本级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和地财教【2023】63号中央义务教育薄弱环节改善与能力提升补助资金策勒县第六中学建设项目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杨朝飞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1,120.00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1,120.00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策勒乡第六中学建设项目立项的批复》策发改【2022】247号文件立项。主要实施内容新建运动场19720平方米，购置实验室设备22套，购置标准普通话考场设备1套，购置电锅炉设备1套等附属设施。通过实施本项目推动教育事业与经济社会和谐发展完善学校的基础设施建设，全面提升教育及服务技能，更高的为广大家长和学生服务，推动教育事业与经济社会和谐发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新建运动场面积</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=19720平方米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购置实验室设备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=22套</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购置标准普通话考场设备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=1套</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购置电锅炉设备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=1套</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项目建设成本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为学生创造更好的学习和生活条件</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不断改善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策勒县人民政府教育局本级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和地财教【2023】73号2024年园舍维修项目资金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杨朝飞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366.38</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366.38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对策勒县第一幼儿园等21所幼儿园园舍维修项目建议书的批复》策发改【2024】113号文件立项。主要建设内容为对21所幼儿园进行园舍维修，其中供暖改造3000平方米、地面硬化2500平方米、墙地面维修10000平方米、围墙600米、供暖设备维修、给排水维修、厕所维修改造等维修改造。通过实施本项目能完善学校的基础设施建设，全面提升教育及服务技能，更高的为广大家长和学生服务，推动教育事业与经济社会和谐发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维修幼儿园数量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=21所</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维修工程验收合格率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园舍维修改造成本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＜=366.38万元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为学生创造更好的学习和生活条件</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不断改善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家长满意度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策勒县人民政府教育局本级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和地财教【2023】73号策勒县乌鲁克萨依乡中心小学运动场建设项目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杨朝飞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150.00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150.00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对策勒县乌鲁克萨依乡中心小学运动场建设项目初步设计的批复》和地教复【2024】28号文件实施。主要建设内容为新建200米塑胶运动场及附属配套设施。完善学校的基础设施建设，全面提升教育及服务技能，更高的为广大家长和学生服务，推动教育事业与经济社会和谐发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新建运动场长度标准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=200米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固定标准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工程验收合格率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运动场建设成本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＜=7500元/米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完善学校的基础设施建设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固定标准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教职工满意度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部门有20个涉密项目，涉及预算资金711.42万元，项目绩效目标表完全不予公开。</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策勒县教育局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151AA7"/>
    <w:multiLevelType w:val="multilevel"/>
    <w:tmpl w:val="B0151AA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E2BEBDF8"/>
    <w:multiLevelType w:val="multilevel"/>
    <w:tmpl w:val="E2BEBDF8"/>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5D0D312"/>
    <w:multiLevelType w:val="multilevel"/>
    <w:tmpl w:val="55D0D312"/>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F07B0D"/>
    <w:rsid w:val="3E3956A8"/>
    <w:rsid w:val="64C8633E"/>
    <w:rsid w:val="6C363F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2"/>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qFormat/>
    <w:uiPriority w:val="0"/>
  </w:style>
  <w:style w:type="table" w:default="1" w:styleId="9">
    <w:name w:val="Normal Table"/>
    <w:uiPriority w:val="0"/>
    <w:rPr>
      <w:lang w:val="en-US" w:eastAsia="zh-CN"/>
    </w:rPr>
    <w:tblPr>
      <w:tblLayout w:type="fixed"/>
      <w:tblCellMar>
        <w:top w:w="0" w:type="dxa"/>
        <w:left w:w="108" w:type="dxa"/>
        <w:bottom w:w="0" w:type="dxa"/>
        <w:right w:w="108" w:type="dxa"/>
      </w:tblCellMar>
    </w:tblPr>
  </w:style>
  <w:style w:type="paragraph" w:styleId="5">
    <w:name w:val="annotation text"/>
    <w:basedOn w:val="1"/>
    <w:uiPriority w:val="0"/>
    <w:pPr>
      <w:jc w:val="left"/>
    </w:pPr>
  </w:style>
  <w:style w:type="paragraph" w:styleId="6">
    <w:name w:val="footer"/>
    <w:basedOn w:val="1"/>
    <w:link w:val="16"/>
    <w:uiPriority w:val="0"/>
    <w:pPr>
      <w:snapToGrid w:val="0"/>
      <w:jc w:val="left"/>
    </w:pPr>
    <w:rPr>
      <w:sz w:val="18"/>
      <w:szCs w:val="18"/>
    </w:rPr>
  </w:style>
  <w:style w:type="paragraph" w:styleId="7">
    <w:name w:val="header"/>
    <w:basedOn w:val="1"/>
    <w:link w:val="15"/>
    <w:uiPriority w:val="0"/>
    <w:pPr>
      <w:pBdr>
        <w:bottom w:val="single" w:color="auto" w:sz="6" w:space="1"/>
      </w:pBdr>
      <w:snapToGrid w:val="0"/>
      <w:jc w:val="center"/>
    </w:pPr>
    <w:rPr>
      <w:sz w:val="18"/>
      <w:szCs w:val="18"/>
    </w:rPr>
  </w:style>
  <w:style w:type="table" w:styleId="10">
    <w:name w:val="Table Grid"/>
    <w:basedOn w:val="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45</Pages>
  <Words>18870</Words>
  <Characters>23530</Characters>
  <Lines>40</Lines>
  <Paragraphs>11</Paragraphs>
  <TotalTime>0</TotalTime>
  <ScaleCrop>false</ScaleCrop>
  <LinksUpToDate>false</LinksUpToDate>
  <CharactersWithSpaces>24161</CharactersWithSpaces>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2024-02-08T02:11:15Z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