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eastAsia="黑体" w:cs="Times New Roman"/>
          <w:color w:val="auto"/>
          <w:sz w:val="32"/>
          <w:szCs w:val="32"/>
          <w:highlight w:val="none"/>
          <w:lang w:val="en-US" w:eastAsia="zh-CN"/>
        </w:rPr>
      </w:pPr>
    </w:p>
    <w:p>
      <w:pPr>
        <w:pStyle w:val="2"/>
        <w:rPr>
          <w:rFonts w:hint="default" w:ascii="Times New Roman" w:hAnsi="Times New Roman" w:cs="Times New Roman"/>
          <w:lang w:val="en-US" w:eastAsia="zh-CN"/>
        </w:rPr>
      </w:pPr>
    </w:p>
    <w:p>
      <w:pPr>
        <w:pStyle w:val="10"/>
        <w:rPr>
          <w:rFonts w:hint="default" w:ascii="Times New Roman" w:hAnsi="Times New Roman" w:cs="Times New Roman"/>
          <w:highlight w:val="none"/>
          <w:lang w:val="en-US" w:eastAsia="zh-CN"/>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lang w:val="en-US" w:eastAsia="zh-CN"/>
        </w:rPr>
      </w:pPr>
      <w:bookmarkStart w:id="4" w:name="_GoBack"/>
      <w:bookmarkEnd w:id="4"/>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r>
        <w:rPr>
          <w:rFonts w:hint="default" w:ascii="Times New Roman" w:hAnsi="Times New Roman" w:eastAsia="方正小标宋_GBK" w:cs="Times New Roman"/>
          <w:kern w:val="0"/>
          <w:sz w:val="44"/>
          <w:szCs w:val="44"/>
          <w:highlight w:val="none"/>
          <w:lang w:val="en-US" w:eastAsia="zh-CN"/>
        </w:rPr>
        <w:t>2026年策勒县</w:t>
      </w:r>
      <w:r>
        <w:rPr>
          <w:rFonts w:hint="default" w:ascii="Times New Roman" w:hAnsi="Times New Roman" w:eastAsia="方正小标宋_GBK" w:cs="Times New Roman"/>
          <w:kern w:val="0"/>
          <w:sz w:val="44"/>
          <w:szCs w:val="44"/>
          <w:highlight w:val="none"/>
        </w:rPr>
        <w:t>政府预算公开</w:t>
      </w: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widowControl/>
        <w:spacing w:line="440" w:lineRule="exact"/>
        <w:jc w:val="both"/>
        <w:outlineLvl w:val="1"/>
        <w:rPr>
          <w:rFonts w:hint="default" w:ascii="Times New Roman" w:hAnsi="Times New Roman" w:eastAsia="黑体" w:cs="Times New Roman"/>
          <w:kern w:val="0"/>
          <w:sz w:val="36"/>
          <w:szCs w:val="32"/>
          <w:highlight w:val="none"/>
          <w:lang w:val="en-US" w:eastAsia="zh-Hans"/>
        </w:rPr>
        <w:sectPr>
          <w:footerReference r:id="rId3" w:type="default"/>
          <w:pgSz w:w="11906" w:h="16838"/>
          <w:pgMar w:top="2098" w:right="1531" w:bottom="1984" w:left="1531" w:header="851" w:footer="992" w:gutter="0"/>
          <w:pgNumType w:fmt="numberInDash"/>
          <w:cols w:space="720" w:num="1"/>
          <w:docGrid w:linePitch="312" w:charSpace="0"/>
        </w:sectPr>
      </w:pPr>
    </w:p>
    <w:p>
      <w:pPr>
        <w:widowControl/>
        <w:spacing w:line="600" w:lineRule="exact"/>
        <w:jc w:val="center"/>
        <w:outlineLvl w:val="1"/>
        <w:rPr>
          <w:rFonts w:hint="default" w:ascii="Times New Roman" w:hAnsi="Times New Roman" w:eastAsia="黑体" w:cs="Times New Roman"/>
          <w:kern w:val="0"/>
          <w:sz w:val="36"/>
          <w:szCs w:val="32"/>
          <w:highlight w:val="none"/>
        </w:rPr>
      </w:pPr>
      <w:r>
        <w:rPr>
          <w:rFonts w:hint="default" w:ascii="Times New Roman" w:hAnsi="Times New Roman" w:eastAsia="黑体" w:cs="Times New Roman"/>
          <w:kern w:val="0"/>
          <w:sz w:val="36"/>
          <w:szCs w:val="32"/>
          <w:highlight w:val="none"/>
          <w:lang w:val="en-US" w:eastAsia="zh-Hans"/>
        </w:rPr>
        <w:t>目</w:t>
      </w:r>
      <w:r>
        <w:rPr>
          <w:rFonts w:hint="default" w:ascii="Times New Roman" w:hAnsi="Times New Roman" w:eastAsia="黑体" w:cs="Times New Roman"/>
          <w:kern w:val="0"/>
          <w:sz w:val="36"/>
          <w:szCs w:val="32"/>
          <w:highlight w:val="none"/>
          <w:lang w:val="en-US" w:eastAsia="zh-CN"/>
        </w:rPr>
        <w:t xml:space="preserve"> </w:t>
      </w:r>
      <w:r>
        <w:rPr>
          <w:rFonts w:hint="default" w:ascii="Times New Roman" w:hAnsi="Times New Roman" w:eastAsia="黑体" w:cs="Times New Roman"/>
          <w:kern w:val="0"/>
          <w:sz w:val="36"/>
          <w:szCs w:val="32"/>
          <w:highlight w:val="none"/>
        </w:rPr>
        <w:t>录</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第一部分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预算草案报告</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第二部分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四本</w:t>
      </w:r>
      <w:r>
        <w:rPr>
          <w:rFonts w:hint="default" w:ascii="Times New Roman" w:hAnsi="Times New Roman" w:eastAsia="仿宋_GB2312" w:cs="Times New Roman"/>
          <w:b/>
          <w:kern w:val="0"/>
          <w:sz w:val="32"/>
          <w:szCs w:val="32"/>
          <w:highlight w:val="none"/>
          <w:lang w:eastAsia="zh-Hans"/>
        </w:rPr>
        <w:t>”</w:t>
      </w:r>
      <w:r>
        <w:rPr>
          <w:rFonts w:hint="default" w:ascii="Times New Roman" w:hAnsi="Times New Roman" w:eastAsia="仿宋_GB2312" w:cs="Times New Roman"/>
          <w:b/>
          <w:kern w:val="0"/>
          <w:sz w:val="32"/>
          <w:szCs w:val="32"/>
          <w:highlight w:val="none"/>
          <w:lang w:val="en-US" w:eastAsia="zh-Hans"/>
        </w:rPr>
        <w:t>预算公开表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b w:val="0"/>
          <w:bCs/>
          <w:sz w:val="32"/>
          <w:highlight w:val="none"/>
          <w:lang w:val="en-US" w:eastAsia="zh-Hans"/>
        </w:rPr>
        <w:t>一</w:t>
      </w:r>
      <w:r>
        <w:rPr>
          <w:rFonts w:hint="default" w:ascii="Times New Roman" w:hAnsi="Times New Roman" w:eastAsia="仿宋_GB2312" w:cs="Times New Roman"/>
          <w:kern w:val="0"/>
          <w:sz w:val="32"/>
          <w:szCs w:val="32"/>
          <w:highlight w:val="none"/>
          <w:lang w:val="en-US" w:eastAsia="zh-Hans"/>
        </w:rPr>
        <w:t>、一般公共预算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四、社会保险基金预算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第三部分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CN"/>
        </w:rPr>
        <w:t>财政拨款</w:t>
      </w:r>
      <w:r>
        <w:rPr>
          <w:rFonts w:hint="default" w:ascii="Times New Roman" w:hAnsi="Times New Roman" w:eastAsia="仿宋_GB2312" w:cs="Times New Roman"/>
          <w:b/>
          <w:kern w:val="0"/>
          <w:sz w:val="32"/>
          <w:szCs w:val="32"/>
          <w:highlight w:val="none"/>
          <w:lang w:val="en-US" w:eastAsia="zh-Hans"/>
        </w:rPr>
        <w:t>“三公”经费预算情况说明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第四部分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转移支付安排情况说明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一、一般公共预算对下转移支付情况说明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二、政府性基金预算对下转移支付情况</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三、国有资本经营预算对下转移支付情况</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第五部分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地方政府债务公开情况说明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第六部分</w:t>
      </w:r>
      <w:r>
        <w:rPr>
          <w:rFonts w:hint="default" w:ascii="Times New Roman" w:hAnsi="Times New Roman" w:eastAsia="仿宋_GB2312" w:cs="Times New Roman"/>
          <w:b/>
          <w:kern w:val="0"/>
          <w:sz w:val="32"/>
          <w:szCs w:val="32"/>
          <w:highlight w:val="none"/>
          <w:lang w:eastAsia="zh-Hans"/>
        </w:rPr>
        <w:t xml:space="preserve"> 财政衔接推进乡村振兴补助资金公开情况说明</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第七部分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本级汇总的预算绩效情况说明</w:t>
      </w:r>
      <w:r>
        <w:rPr>
          <w:rFonts w:hint="default" w:ascii="Times New Roman" w:hAnsi="Times New Roman" w:eastAsia="仿宋_GB2312" w:cs="Times New Roman"/>
          <w:b/>
          <w:kern w:val="0"/>
          <w:sz w:val="32"/>
          <w:szCs w:val="32"/>
          <w:highlight w:val="none"/>
          <w:lang w:eastAsia="zh-Hans"/>
        </w:rPr>
        <w:t xml:space="preserve"> </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第八部分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其他情况说明</w:t>
      </w:r>
    </w:p>
    <w:p>
      <w:pPr>
        <w:keepNext w:val="0"/>
        <w:keepLines w:val="0"/>
        <w:pageBreakBefore w:val="0"/>
        <w:kinsoku/>
        <w:wordWrap/>
        <w:overflowPunct/>
        <w:topLinePunct w:val="0"/>
        <w:autoSpaceDE w:val="0"/>
        <w:autoSpaceDN w:val="0"/>
        <w:bidi w:val="0"/>
        <w:adjustRightInd/>
        <w:snapToGrid/>
        <w:spacing w:before="0" w:after="0" w:line="266" w:lineRule="auto"/>
        <w:ind w:right="0" w:rightChars="0" w:firstLine="640" w:firstLineChars="200"/>
        <w:jc w:val="center"/>
        <w:textAlignment w:val="auto"/>
        <w:rPr>
          <w:rFonts w:hint="default" w:ascii="Times New Roman" w:hAnsi="Times New Roman" w:eastAsia="方正小标宋_GBK" w:cs="Times New Roman"/>
          <w:b/>
          <w:sz w:val="32"/>
          <w:highlight w:val="none"/>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pPr>
        <w:widowControl/>
        <w:jc w:val="center"/>
        <w:outlineLvl w:val="1"/>
        <w:rPr>
          <w:rFonts w:hint="default" w:ascii="Times New Roman" w:hAnsi="Times New Roman" w:eastAsia="黑体" w:cs="Times New Roman"/>
          <w:kern w:val="0"/>
          <w:sz w:val="32"/>
          <w:szCs w:val="32"/>
          <w:highlight w:val="none"/>
        </w:rPr>
        <w:sectPr>
          <w:footerReference r:id="rId4" w:type="default"/>
          <w:pgSz w:w="11906" w:h="16838"/>
          <w:pgMar w:top="2098" w:right="1531" w:bottom="1984" w:left="1531" w:header="851" w:footer="992" w:gutter="0"/>
          <w:pgNumType w:fmt="numberInDash" w:start="2"/>
          <w:cols w:space="720" w:num="1"/>
          <w:docGrid w:linePitch="312" w:charSpace="0"/>
        </w:sectPr>
      </w:pPr>
    </w:p>
    <w:p>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color w:val="auto"/>
          <w:kern w:val="0"/>
          <w:sz w:val="32"/>
          <w:szCs w:val="32"/>
          <w:highlight w:val="none"/>
          <w:lang w:val="en-US" w:eastAsia="zh-Hans"/>
        </w:rPr>
        <w:t>第一部分</w:t>
      </w:r>
      <w:r>
        <w:rPr>
          <w:rFonts w:hint="default" w:ascii="Times New Roman" w:hAnsi="Times New Roman" w:eastAsia="黑体" w:cs="Times New Roman"/>
          <w:color w:val="auto"/>
          <w:kern w:val="0"/>
          <w:sz w:val="32"/>
          <w:szCs w:val="32"/>
          <w:highlight w:val="none"/>
          <w:lang w:val="en-US" w:eastAsia="zh-CN"/>
        </w:rPr>
        <w:t xml:space="preserve"> </w:t>
      </w:r>
      <w:r>
        <w:rPr>
          <w:rFonts w:hint="default" w:ascii="Times New Roman" w:hAnsi="Times New Roman" w:eastAsia="黑体" w:cs="Times New Roman"/>
          <w:color w:val="auto"/>
          <w:kern w:val="0"/>
          <w:sz w:val="32"/>
          <w:szCs w:val="32"/>
          <w:highlight w:val="none"/>
          <w:lang w:val="en-US" w:eastAsia="zh-Hans"/>
        </w:rPr>
        <w:t>预算草案报告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策勒县202</w:t>
      </w:r>
      <w:r>
        <w:rPr>
          <w:rFonts w:hint="default" w:ascii="Times New Roman" w:hAnsi="Times New Roman" w:eastAsia="方正小标宋简体" w:cs="Times New Roman"/>
          <w:color w:val="auto"/>
          <w:sz w:val="44"/>
          <w:szCs w:val="44"/>
          <w:highlight w:val="none"/>
          <w:lang w:val="en-US" w:eastAsia="zh-CN"/>
        </w:rPr>
        <w:t>5</w:t>
      </w:r>
      <w:r>
        <w:rPr>
          <w:rFonts w:hint="default" w:ascii="Times New Roman" w:hAnsi="Times New Roman" w:eastAsia="方正小标宋简体" w:cs="Times New Roman"/>
          <w:color w:val="auto"/>
          <w:sz w:val="44"/>
          <w:szCs w:val="44"/>
          <w:highlight w:val="none"/>
        </w:rPr>
        <w:t>年财政预算执行情况和202</w:t>
      </w:r>
      <w:r>
        <w:rPr>
          <w:rFonts w:hint="default" w:ascii="Times New Roman" w:hAnsi="Times New Roman" w:eastAsia="方正小标宋简体" w:cs="Times New Roman"/>
          <w:color w:val="auto"/>
          <w:sz w:val="44"/>
          <w:szCs w:val="44"/>
          <w:highlight w:val="none"/>
          <w:lang w:val="en-US" w:eastAsia="zh-CN"/>
        </w:rPr>
        <w:t>6</w:t>
      </w:r>
      <w:r>
        <w:rPr>
          <w:rFonts w:hint="default" w:ascii="Times New Roman" w:hAnsi="Times New Roman" w:eastAsia="方正小标宋简体" w:cs="Times New Roman"/>
          <w:color w:val="auto"/>
          <w:sz w:val="44"/>
          <w:szCs w:val="44"/>
          <w:highlight w:val="none"/>
        </w:rPr>
        <w:t>年</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color w:val="auto"/>
          <w:sz w:val="44"/>
          <w:szCs w:val="44"/>
          <w:highlight w:val="none"/>
        </w:rPr>
      </w:pPr>
      <w:r>
        <w:rPr>
          <w:rFonts w:hint="default" w:ascii="Times New Roman" w:hAnsi="Times New Roman" w:eastAsia="方正小标宋简体" w:cs="Times New Roman"/>
          <w:color w:val="auto"/>
          <w:sz w:val="44"/>
          <w:szCs w:val="44"/>
          <w:highlight w:val="none"/>
        </w:rPr>
        <w:t>财政预算（草案）报告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楷体简体" w:cs="Times New Roman"/>
          <w:color w:val="auto"/>
          <w:sz w:val="32"/>
          <w:szCs w:val="32"/>
          <w:highlight w:val="none"/>
        </w:rPr>
      </w:pPr>
      <w:r>
        <w:rPr>
          <w:rFonts w:hint="default" w:ascii="Times New Roman" w:hAnsi="Times New Roman" w:eastAsia="方正楷体简体" w:cs="Times New Roman"/>
          <w:color w:val="auto"/>
          <w:sz w:val="32"/>
          <w:szCs w:val="32"/>
          <w:highlight w:val="none"/>
        </w:rPr>
        <w:t>—202</w:t>
      </w:r>
      <w:r>
        <w:rPr>
          <w:rFonts w:hint="default" w:ascii="Times New Roman" w:hAnsi="Times New Roman" w:eastAsia="方正楷体简体" w:cs="Times New Roman"/>
          <w:color w:val="auto"/>
          <w:sz w:val="32"/>
          <w:szCs w:val="32"/>
          <w:highlight w:val="none"/>
          <w:lang w:val="en-US" w:eastAsia="zh-CN"/>
        </w:rPr>
        <w:t>6</w:t>
      </w:r>
      <w:r>
        <w:rPr>
          <w:rFonts w:hint="default" w:ascii="Times New Roman" w:hAnsi="Times New Roman" w:eastAsia="方正楷体简体" w:cs="Times New Roman"/>
          <w:color w:val="auto"/>
          <w:sz w:val="32"/>
          <w:szCs w:val="32"/>
          <w:highlight w:val="none"/>
        </w:rPr>
        <w:t>年1月2</w:t>
      </w:r>
      <w:r>
        <w:rPr>
          <w:rFonts w:hint="default" w:ascii="Times New Roman" w:hAnsi="Times New Roman" w:eastAsia="方正楷体简体" w:cs="Times New Roman"/>
          <w:color w:val="auto"/>
          <w:sz w:val="32"/>
          <w:szCs w:val="32"/>
          <w:highlight w:val="none"/>
          <w:lang w:val="en-US" w:eastAsia="zh-CN"/>
        </w:rPr>
        <w:t>2</w:t>
      </w:r>
      <w:r>
        <w:rPr>
          <w:rFonts w:hint="default" w:ascii="Times New Roman" w:hAnsi="Times New Roman" w:eastAsia="方正楷体简体" w:cs="Times New Roman"/>
          <w:color w:val="auto"/>
          <w:sz w:val="32"/>
          <w:szCs w:val="32"/>
          <w:highlight w:val="none"/>
        </w:rPr>
        <w:t>日在策勒县十七届人民代表大会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楷体简体" w:cs="Times New Roman"/>
          <w:color w:val="auto"/>
          <w:sz w:val="32"/>
          <w:szCs w:val="32"/>
          <w:highlight w:val="none"/>
        </w:rPr>
      </w:pPr>
      <w:r>
        <w:rPr>
          <w:rFonts w:hint="default" w:ascii="Times New Roman" w:hAnsi="Times New Roman" w:eastAsia="方正楷体简体" w:cs="Times New Roman"/>
          <w:color w:val="auto"/>
          <w:sz w:val="32"/>
          <w:szCs w:val="32"/>
          <w:highlight w:val="none"/>
        </w:rPr>
        <w:t>第</w:t>
      </w:r>
      <w:r>
        <w:rPr>
          <w:rFonts w:hint="default" w:ascii="Times New Roman" w:hAnsi="Times New Roman" w:eastAsia="方正楷体简体" w:cs="Times New Roman"/>
          <w:color w:val="auto"/>
          <w:sz w:val="32"/>
          <w:szCs w:val="32"/>
          <w:highlight w:val="none"/>
          <w:lang w:val="en-US" w:eastAsia="zh-CN"/>
        </w:rPr>
        <w:t>七</w:t>
      </w:r>
      <w:r>
        <w:rPr>
          <w:rFonts w:hint="default" w:ascii="Times New Roman" w:hAnsi="Times New Roman" w:eastAsia="方正楷体简体" w:cs="Times New Roman"/>
          <w:color w:val="auto"/>
          <w:sz w:val="32"/>
          <w:szCs w:val="32"/>
          <w:highlight w:val="none"/>
        </w:rPr>
        <w:t>次会议上</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jc w:val="center"/>
        <w:textAlignment w:val="auto"/>
        <w:rPr>
          <w:rFonts w:hint="default" w:ascii="Times New Roman" w:hAnsi="Times New Roman" w:eastAsia="方正楷体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lang w:val="en-US" w:eastAsia="zh-CN"/>
        </w:rPr>
        <w:t>策勒县财政局局长  冯  波</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jc w:val="left"/>
        <w:textAlignment w:val="auto"/>
        <w:rPr>
          <w:rFonts w:hint="default" w:ascii="Times New Roman" w:hAnsi="Times New Roman" w:eastAsia="方正楷体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lang w:val="en-US" w:eastAsia="zh-CN"/>
        </w:rPr>
        <w:t>各位代表、政协委员：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受县人民政府委托，由我向大会报告策勒县2025年财政预算执行情况和2026年财政预算（草案），请予审议，并请政协委员和列席人员提出宝贵意见。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2025年在县委、县政府的正确带领和人大的严格监督下，策勒县财政局以习近平新时代中国特色社会主义思想为指导，全力以赴抓好组织收入，持续优化支出结构，顺利完成2025年各项收入支出任务，确保县财政在紧张艰难的环境下仍平稳运行。目前策勒县2025年财政预算执行情况和2026年财政预算（草案）已完成，特向人民代表大会报告，具体如下：</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一、2025年预算收支完成情况</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rPr>
        <w:t>（一）一般公共预算收支情况</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楷体简体" w:cs="Times New Roman"/>
          <w:color w:val="auto"/>
          <w:sz w:val="32"/>
          <w:szCs w:val="32"/>
          <w:highlight w:val="none"/>
        </w:rPr>
      </w:pPr>
      <w:r>
        <w:rPr>
          <w:rFonts w:hint="default" w:ascii="Times New Roman" w:hAnsi="Times New Roman" w:eastAsia="方正楷体简体" w:cs="Times New Roman"/>
          <w:color w:val="auto"/>
          <w:sz w:val="32"/>
          <w:szCs w:val="32"/>
          <w:highlight w:val="none"/>
        </w:rPr>
        <w:t>一般公共预算收入完成情况</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年策勒县</w:t>
      </w:r>
      <w:r>
        <w:rPr>
          <w:rFonts w:hint="default" w:ascii="Times New Roman" w:hAnsi="Times New Roman" w:eastAsia="方正仿宋简体" w:cs="Times New Roman"/>
          <w:color w:val="auto"/>
          <w:sz w:val="32"/>
          <w:szCs w:val="32"/>
          <w:highlight w:val="none"/>
          <w:lang w:val="en-US" w:eastAsia="zh-CN"/>
        </w:rPr>
        <w:t>一般</w:t>
      </w:r>
      <w:r>
        <w:rPr>
          <w:rFonts w:hint="default" w:ascii="Times New Roman" w:hAnsi="Times New Roman" w:eastAsia="方正仿宋简体" w:cs="Times New Roman"/>
          <w:color w:val="auto"/>
          <w:sz w:val="32"/>
          <w:szCs w:val="32"/>
          <w:highlight w:val="none"/>
        </w:rPr>
        <w:t>公共预算总收入</w:t>
      </w:r>
      <w:r>
        <w:rPr>
          <w:rFonts w:hint="default" w:ascii="Times New Roman" w:hAnsi="Times New Roman" w:eastAsia="方正仿宋简体" w:cs="Times New Roman"/>
          <w:color w:val="auto"/>
          <w:sz w:val="32"/>
          <w:szCs w:val="32"/>
          <w:highlight w:val="none"/>
          <w:lang w:val="en-US" w:eastAsia="zh-CN"/>
        </w:rPr>
        <w:t>388821</w:t>
      </w:r>
      <w:r>
        <w:rPr>
          <w:rFonts w:hint="default" w:ascii="Times New Roman" w:hAnsi="Times New Roman" w:eastAsia="方正仿宋简体" w:cs="Times New Roman"/>
          <w:color w:val="auto"/>
          <w:sz w:val="32"/>
          <w:szCs w:val="32"/>
          <w:highlight w:val="none"/>
        </w:rPr>
        <w:t>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_GBK" w:cs="Times New Roman"/>
          <w:b w:val="0"/>
          <w:bCs w:val="0"/>
          <w:color w:val="auto"/>
          <w:sz w:val="32"/>
          <w:szCs w:val="32"/>
          <w:highlight w:val="none"/>
          <w:shd w:val="clear" w:color="auto" w:fill="auto"/>
          <w:lang w:val="en-US" w:eastAsia="zh-CN"/>
        </w:rPr>
      </w:pP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_GBK" w:cs="Times New Roman"/>
          <w:b w:val="0"/>
          <w:bCs w:val="0"/>
          <w:color w:val="auto"/>
          <w:sz w:val="32"/>
          <w:szCs w:val="32"/>
          <w:highlight w:val="none"/>
          <w:shd w:val="clear" w:color="auto" w:fill="auto"/>
          <w:lang w:val="en-US" w:eastAsia="zh-CN"/>
        </w:rPr>
        <w:t>2025年我县全口径收入完成32026万元（其中：自治区级5162万元、地区级1796万元、县级25068万元）。县级完成一般公共预算收入25068万元，完成任务23861万元的105.06%，比上年同期21887万元增收3181万元，增长14.53%。分部门完成情况：税务部门税收收入完成9780万元，完成任务10353万元的94.47%，比上年同期9415万元增收365万元，增长3.88%，税收收入占一般公共预算收入的39.01%；财政部门非税收入完成15288万元，完成任务13508万元113.18%，比上年同期12472万元增收2816万元，增长22.58%，非税收入占一般公共预算收入的60.99%。</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上级转移性收入到位</w:t>
      </w:r>
      <w:r>
        <w:rPr>
          <w:rFonts w:hint="default" w:ascii="Times New Roman" w:hAnsi="Times New Roman" w:eastAsia="方正仿宋简体" w:cs="Times New Roman"/>
          <w:color w:val="auto"/>
          <w:sz w:val="32"/>
          <w:szCs w:val="32"/>
          <w:highlight w:val="none"/>
          <w:lang w:val="en-US" w:eastAsia="zh-CN"/>
        </w:rPr>
        <w:t>318763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同</w:t>
      </w:r>
      <w:r>
        <w:rPr>
          <w:rFonts w:hint="default" w:ascii="Times New Roman" w:hAnsi="Times New Roman" w:eastAsia="方正仿宋简体" w:cs="Times New Roman"/>
          <w:color w:val="auto"/>
          <w:sz w:val="32"/>
          <w:szCs w:val="32"/>
          <w:highlight w:val="none"/>
        </w:rPr>
        <w:t>比</w:t>
      </w:r>
      <w:r>
        <w:rPr>
          <w:rFonts w:hint="default" w:ascii="Times New Roman" w:hAnsi="Times New Roman" w:eastAsia="方正仿宋简体" w:cs="Times New Roman"/>
          <w:color w:val="auto"/>
          <w:sz w:val="32"/>
          <w:szCs w:val="32"/>
          <w:highlight w:val="none"/>
          <w:lang w:val="en-US" w:eastAsia="zh-CN"/>
        </w:rPr>
        <w:t>增长14</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val="0"/>
          <w:color w:val="auto"/>
          <w:kern w:val="2"/>
          <w:sz w:val="32"/>
          <w:szCs w:val="32"/>
          <w:highlight w:val="none"/>
          <w:lang w:val="en-US" w:eastAsia="zh-CN" w:bidi="ar-SA"/>
        </w:rPr>
      </w:pPr>
      <w:r>
        <w:rPr>
          <w:rFonts w:hint="default" w:ascii="Times New Roman" w:hAnsi="Times New Roman" w:eastAsia="方正仿宋简体" w:cs="Times New Roman"/>
          <w:color w:val="auto"/>
          <w:sz w:val="32"/>
          <w:szCs w:val="32"/>
          <w:highlight w:val="none"/>
        </w:rPr>
        <w:t>地方政府一般债券转贷收入</w:t>
      </w:r>
      <w:r>
        <w:rPr>
          <w:rFonts w:hint="default" w:ascii="Times New Roman" w:hAnsi="Times New Roman" w:eastAsia="方正仿宋简体" w:cs="Times New Roman"/>
          <w:color w:val="auto"/>
          <w:sz w:val="32"/>
          <w:szCs w:val="32"/>
          <w:highlight w:val="none"/>
          <w:lang w:val="en-US" w:eastAsia="zh-CN"/>
        </w:rPr>
        <w:t>32500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cs="Times New Roman"/>
          <w:color w:val="auto"/>
          <w:highlight w:val="none"/>
          <w:lang w:val="en-US" w:eastAsia="zh-CN"/>
        </w:rPr>
      </w:pPr>
      <w:r>
        <w:rPr>
          <w:rFonts w:hint="default" w:ascii="Times New Roman" w:hAnsi="Times New Roman" w:eastAsia="方正仿宋简体" w:cs="Times New Roman"/>
          <w:b w:val="0"/>
          <w:color w:val="auto"/>
          <w:kern w:val="2"/>
          <w:sz w:val="32"/>
          <w:szCs w:val="32"/>
          <w:highlight w:val="none"/>
          <w:lang w:val="en-US" w:eastAsia="zh-CN" w:bidi="ar-SA"/>
        </w:rPr>
        <w:t>国有资本经营收入中调入资金39万元。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val="0"/>
          <w:color w:val="auto"/>
          <w:kern w:val="2"/>
          <w:sz w:val="32"/>
          <w:szCs w:val="32"/>
          <w:highlight w:val="none"/>
          <w:lang w:val="en-US" w:eastAsia="zh-CN" w:bidi="ar-SA"/>
        </w:rPr>
      </w:pPr>
      <w:r>
        <w:rPr>
          <w:rFonts w:hint="default" w:ascii="Times New Roman" w:hAnsi="Times New Roman" w:eastAsia="方正仿宋简体" w:cs="Times New Roman"/>
          <w:b w:val="0"/>
          <w:color w:val="auto"/>
          <w:kern w:val="2"/>
          <w:sz w:val="32"/>
          <w:szCs w:val="32"/>
          <w:highlight w:val="none"/>
          <w:lang w:val="en-US" w:eastAsia="zh-CN" w:bidi="ar-SA"/>
        </w:rPr>
        <w:t>上年结余12451万元。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楷体简体" w:cs="Times New Roman"/>
          <w:color w:val="auto"/>
          <w:sz w:val="32"/>
          <w:szCs w:val="32"/>
          <w:highlight w:val="none"/>
        </w:rPr>
      </w:pPr>
      <w:r>
        <w:rPr>
          <w:rFonts w:hint="default" w:ascii="Times New Roman" w:hAnsi="Times New Roman" w:eastAsia="方正楷体简体" w:cs="Times New Roman"/>
          <w:color w:val="auto"/>
          <w:sz w:val="32"/>
          <w:szCs w:val="32"/>
          <w:highlight w:val="none"/>
        </w:rPr>
        <w:t>一般公共预算支出完成情况</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b w:val="0"/>
          <w:bCs w:val="0"/>
          <w:color w:val="auto"/>
          <w:sz w:val="32"/>
          <w:szCs w:val="32"/>
          <w:highlight w:val="none"/>
          <w:shd w:val="clear" w:color="auto" w:fill="auto"/>
          <w:lang w:val="en-US"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w:t>
      </w:r>
      <w:r>
        <w:rPr>
          <w:rFonts w:hint="default" w:ascii="Times New Roman" w:hAnsi="Times New Roman" w:eastAsia="方正仿宋_GBK" w:cs="Times New Roman"/>
          <w:b w:val="0"/>
          <w:bCs w:val="0"/>
          <w:color w:val="auto"/>
          <w:sz w:val="32"/>
          <w:szCs w:val="32"/>
          <w:highlight w:val="none"/>
          <w:shd w:val="clear" w:color="auto" w:fill="auto"/>
          <w:lang w:val="en-US" w:eastAsia="zh-CN"/>
        </w:rPr>
        <w:t>累计完成一般公共预算支出345294万元，完成任务277166万元的124.58%，较上年同期348944万元减支3650万元，下降1.05%。</w:t>
      </w:r>
    </w:p>
    <w:p>
      <w:pPr>
        <w:pStyle w:val="14"/>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80" w:lineRule="exact"/>
        <w:ind w:left="0" w:leftChars="0" w:firstLine="640" w:firstLineChars="200"/>
        <w:rPr>
          <w:rFonts w:hint="default" w:ascii="Times New Roman" w:hAnsi="Times New Roman" w:eastAsia="方正仿宋_GBK" w:cs="Times New Roman"/>
          <w:b w:val="0"/>
          <w:bCs w:val="0"/>
          <w:color w:val="auto"/>
          <w:sz w:val="32"/>
          <w:szCs w:val="32"/>
          <w:highlight w:val="none"/>
          <w:shd w:val="clear" w:color="auto" w:fill="auto"/>
          <w:lang w:val="en-US" w:eastAsia="zh-CN"/>
        </w:rPr>
      </w:pPr>
      <w:r>
        <w:rPr>
          <w:rFonts w:hint="default" w:ascii="Times New Roman" w:hAnsi="Times New Roman" w:eastAsia="方正仿宋_GBK" w:cs="Times New Roman"/>
          <w:b w:val="0"/>
          <w:bCs w:val="0"/>
          <w:color w:val="auto"/>
          <w:sz w:val="32"/>
          <w:szCs w:val="32"/>
          <w:highlight w:val="none"/>
          <w:shd w:val="clear" w:color="auto" w:fill="auto"/>
          <w:lang w:val="en-US" w:eastAsia="zh-CN"/>
        </w:rPr>
        <w:t>上解支出450万元。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80" w:lineRule="exact"/>
        <w:ind w:firstLine="640" w:firstLineChars="200"/>
        <w:rPr>
          <w:rFonts w:hint="default" w:ascii="Times New Roman" w:hAnsi="Times New Roman" w:cs="Times New Roman"/>
          <w:color w:val="auto"/>
          <w:highlight w:val="none"/>
          <w:lang w:val="en-US" w:eastAsia="zh-CN"/>
        </w:rPr>
      </w:pPr>
      <w:r>
        <w:rPr>
          <w:rFonts w:hint="default" w:ascii="Times New Roman" w:hAnsi="Times New Roman" w:eastAsia="方正仿宋_GBK" w:cs="Times New Roman"/>
          <w:b w:val="0"/>
          <w:bCs w:val="0"/>
          <w:color w:val="auto"/>
          <w:sz w:val="32"/>
          <w:szCs w:val="32"/>
          <w:highlight w:val="none"/>
          <w:shd w:val="clear" w:color="auto" w:fill="auto"/>
          <w:lang w:val="en-US" w:eastAsia="zh-CN"/>
        </w:rPr>
        <w:t>一般债券还本支出4500万元。</w:t>
      </w:r>
    </w:p>
    <w:p>
      <w:pPr>
        <w:pStyle w:val="9"/>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Chars="0" w:firstLine="640" w:firstLineChars="200"/>
        <w:rPr>
          <w:rFonts w:hint="default" w:ascii="Times New Roman" w:hAnsi="Times New Roman" w:eastAsia="方正仿宋简体" w:cs="Times New Roman"/>
          <w:b w:val="0"/>
          <w:color w:val="auto"/>
          <w:kern w:val="2"/>
          <w:sz w:val="32"/>
          <w:szCs w:val="32"/>
          <w:highlight w:val="none"/>
          <w:lang w:val="en-US" w:eastAsia="zh-CN" w:bidi="ar-SA"/>
        </w:rPr>
      </w:pPr>
      <w:r>
        <w:rPr>
          <w:rFonts w:hint="default" w:ascii="Times New Roman" w:hAnsi="Times New Roman" w:eastAsia="方正仿宋简体" w:cs="Times New Roman"/>
          <w:b w:val="0"/>
          <w:color w:val="auto"/>
          <w:kern w:val="2"/>
          <w:sz w:val="32"/>
          <w:szCs w:val="32"/>
          <w:highlight w:val="none"/>
          <w:lang w:val="en-US" w:eastAsia="zh-CN" w:bidi="ar-SA"/>
        </w:rPr>
        <w:t>安排预算稳定调节基金1207万元。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rPr>
      </w:pPr>
      <w:r>
        <w:rPr>
          <w:rFonts w:hint="default" w:ascii="Times New Roman" w:hAnsi="Times New Roman" w:eastAsia="方正仿宋简体" w:cs="Times New Roman"/>
          <w:color w:val="auto"/>
          <w:sz w:val="32"/>
          <w:szCs w:val="32"/>
          <w:highlight w:val="none"/>
        </w:rPr>
        <w:t>收支相抵</w:t>
      </w:r>
      <w:r>
        <w:rPr>
          <w:rFonts w:hint="default" w:ascii="Times New Roman" w:hAnsi="Times New Roman" w:eastAsia="方正仿宋简体" w:cs="Times New Roman"/>
          <w:color w:val="auto"/>
          <w:sz w:val="32"/>
          <w:szCs w:val="32"/>
          <w:highlight w:val="none"/>
          <w:lang w:val="en-US" w:eastAsia="zh-CN"/>
        </w:rPr>
        <w:t>结转资金37370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结转资金分别是：一般债券项目结转8154万元，中央预算内结转6243万元、基建类项目结转7207万元、教育资金结转5700万元、衔接资金结转1759万元，农林水结转2456万元、社会保障类结转1650万元、其他资金结转4201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sz w:val="32"/>
          <w:szCs w:val="32"/>
          <w:highlight w:val="none"/>
        </w:rPr>
        <w:t>（二）202</w:t>
      </w:r>
      <w:r>
        <w:rPr>
          <w:rFonts w:hint="default" w:ascii="Times New Roman" w:hAnsi="Times New Roman" w:eastAsia="方正仿宋简体" w:cs="Times New Roman"/>
          <w:b/>
          <w:bCs/>
          <w:color w:val="auto"/>
          <w:sz w:val="32"/>
          <w:szCs w:val="32"/>
          <w:highlight w:val="none"/>
          <w:lang w:val="en-US" w:eastAsia="zh-CN"/>
        </w:rPr>
        <w:t>5</w:t>
      </w:r>
      <w:r>
        <w:rPr>
          <w:rFonts w:hint="default" w:ascii="Times New Roman" w:hAnsi="Times New Roman" w:eastAsia="方正仿宋简体" w:cs="Times New Roman"/>
          <w:b/>
          <w:bCs/>
          <w:color w:val="auto"/>
          <w:sz w:val="32"/>
          <w:szCs w:val="32"/>
          <w:highlight w:val="none"/>
        </w:rPr>
        <w:t>年政府性基金预算执行情况</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政府性基金收入情况。</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年策勒县政府性基金总收入</w:t>
      </w:r>
      <w:r>
        <w:rPr>
          <w:rFonts w:hint="default" w:ascii="Times New Roman" w:hAnsi="Times New Roman" w:eastAsia="方正仿宋简体" w:cs="Times New Roman"/>
          <w:color w:val="auto"/>
          <w:sz w:val="32"/>
          <w:szCs w:val="32"/>
          <w:highlight w:val="none"/>
          <w:lang w:val="en-US" w:eastAsia="zh-CN"/>
        </w:rPr>
        <w:t>164543</w:t>
      </w:r>
      <w:r>
        <w:rPr>
          <w:rFonts w:hint="default" w:ascii="Times New Roman" w:hAnsi="Times New Roman" w:eastAsia="方正仿宋简体" w:cs="Times New Roman"/>
          <w:color w:val="auto"/>
          <w:sz w:val="32"/>
          <w:szCs w:val="32"/>
          <w:highlight w:val="none"/>
        </w:rPr>
        <w:t>万元。其中：</w:t>
      </w:r>
      <w:r>
        <w:rPr>
          <w:rFonts w:hint="default" w:ascii="Times New Roman" w:hAnsi="Times New Roman" w:eastAsia="方正仿宋简体" w:cs="Times New Roman"/>
          <w:color w:val="auto"/>
          <w:kern w:val="0"/>
          <w:sz w:val="32"/>
          <w:szCs w:val="40"/>
          <w:highlight w:val="none"/>
          <w:lang w:val="en-US" w:eastAsia="zh-CN" w:bidi="ar"/>
        </w:rPr>
        <w:t>我县本级政府性基金预算收入累计完成4181万元，完成任务11763万元的35.54%，较上年同期5060万元减收879万元，下降17.37%。</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上年结转44162万元。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上级</w:t>
      </w:r>
      <w:r>
        <w:rPr>
          <w:rFonts w:hint="default" w:ascii="Times New Roman" w:hAnsi="Times New Roman" w:eastAsia="方正仿宋简体" w:cs="Times New Roman"/>
          <w:color w:val="auto"/>
          <w:sz w:val="32"/>
          <w:szCs w:val="32"/>
          <w:highlight w:val="none"/>
        </w:rPr>
        <w:t>专项转移收入</w:t>
      </w:r>
      <w:r>
        <w:rPr>
          <w:rFonts w:hint="default" w:ascii="Times New Roman" w:hAnsi="Times New Roman" w:eastAsia="方正仿宋简体" w:cs="Times New Roman"/>
          <w:color w:val="auto"/>
          <w:sz w:val="32"/>
          <w:szCs w:val="32"/>
          <w:highlight w:val="none"/>
          <w:lang w:val="en-US" w:eastAsia="zh-CN"/>
        </w:rPr>
        <w:t>22200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比上年同期33260万元下降33.25%。（主要是2024年地区下达了</w:t>
      </w:r>
      <w:r>
        <w:rPr>
          <w:rFonts w:hint="default" w:ascii="Times New Roman" w:hAnsi="Times New Roman" w:eastAsia="方正仿宋简体" w:cs="Times New Roman"/>
          <w:color w:val="auto"/>
          <w:kern w:val="0"/>
          <w:sz w:val="32"/>
          <w:szCs w:val="40"/>
          <w:highlight w:val="none"/>
          <w:lang w:val="en-US" w:eastAsia="zh-CN" w:bidi="ar"/>
        </w:rPr>
        <w:t>超长期国债城市地下管网建设改造项目资金32000万元</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地方政府专项债券转贷收入</w:t>
      </w:r>
      <w:r>
        <w:rPr>
          <w:rFonts w:hint="default" w:ascii="Times New Roman" w:hAnsi="Times New Roman" w:eastAsia="方正仿宋简体" w:cs="Times New Roman"/>
          <w:color w:val="auto"/>
          <w:sz w:val="32"/>
          <w:szCs w:val="32"/>
          <w:highlight w:val="none"/>
          <w:lang w:val="en-US" w:eastAsia="zh-CN"/>
        </w:rPr>
        <w:t>94000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比上年同期23000万元增长308.7%</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政府性基金支出情况。</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kern w:val="0"/>
          <w:sz w:val="32"/>
          <w:szCs w:val="40"/>
          <w:highlight w:val="none"/>
          <w:lang w:val="en-US" w:eastAsia="zh-CN" w:bidi="ar"/>
        </w:rPr>
      </w:pPr>
      <w:r>
        <w:rPr>
          <w:rFonts w:hint="default" w:ascii="Times New Roman" w:hAnsi="Times New Roman" w:eastAsia="方正仿宋简体" w:cs="Times New Roman"/>
          <w:color w:val="auto"/>
          <w:kern w:val="0"/>
          <w:sz w:val="32"/>
          <w:szCs w:val="40"/>
          <w:highlight w:val="none"/>
          <w:lang w:val="en-US" w:eastAsia="zh-CN" w:bidi="ar"/>
        </w:rPr>
        <w:t>2025年我县政府性基金支出累计完成74411万元，完成任务61566万元的120.86%，较上年同期18487万元增支55924万元，增长302.50%。主要原因为：2025年支付2024年超长期国债城市地下管网建设改造项目15881万元，支付政府拖欠款31000万元，支付2025年超长期国债资金(含通用机场建设项目及昆仑水利项目）13476万元，为一次性增长因素。</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kern w:val="0"/>
          <w:sz w:val="32"/>
          <w:szCs w:val="40"/>
          <w:highlight w:val="none"/>
          <w:lang w:val="en-US" w:eastAsia="zh-CN" w:bidi="ar"/>
        </w:rPr>
      </w:pPr>
      <w:r>
        <w:rPr>
          <w:rFonts w:hint="default" w:ascii="Times New Roman" w:hAnsi="Times New Roman" w:eastAsia="方正仿宋简体" w:cs="Times New Roman"/>
          <w:color w:val="auto"/>
          <w:sz w:val="32"/>
          <w:szCs w:val="32"/>
          <w:highlight w:val="none"/>
        </w:rPr>
        <w:t>收支相抵</w:t>
      </w:r>
      <w:r>
        <w:rPr>
          <w:rFonts w:hint="default" w:ascii="Times New Roman" w:hAnsi="Times New Roman" w:eastAsia="方正仿宋简体" w:cs="Times New Roman"/>
          <w:color w:val="auto"/>
          <w:sz w:val="32"/>
          <w:szCs w:val="32"/>
          <w:highlight w:val="none"/>
          <w:lang w:val="en-US" w:eastAsia="zh-CN"/>
        </w:rPr>
        <w:t>结转90132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kern w:val="0"/>
          <w:sz w:val="32"/>
          <w:szCs w:val="40"/>
          <w:highlight w:val="none"/>
          <w:lang w:val="en-US" w:eastAsia="zh-CN" w:bidi="ar"/>
        </w:rPr>
        <w:t>结转资金分别是：超长期特别国债资金19866万元，专项债券项目结转资金69932万元、其他彩票类结转资金334万元。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sz w:val="32"/>
          <w:szCs w:val="32"/>
          <w:highlight w:val="none"/>
        </w:rPr>
        <w:t>（三）202</w:t>
      </w:r>
      <w:r>
        <w:rPr>
          <w:rFonts w:hint="default" w:ascii="Times New Roman" w:hAnsi="Times New Roman" w:eastAsia="方正仿宋简体" w:cs="Times New Roman"/>
          <w:b/>
          <w:bCs/>
          <w:color w:val="auto"/>
          <w:sz w:val="32"/>
          <w:szCs w:val="32"/>
          <w:highlight w:val="none"/>
          <w:lang w:val="en-US" w:eastAsia="zh-CN"/>
        </w:rPr>
        <w:t>5</w:t>
      </w:r>
      <w:r>
        <w:rPr>
          <w:rFonts w:hint="default" w:ascii="Times New Roman" w:hAnsi="Times New Roman" w:eastAsia="方正仿宋简体" w:cs="Times New Roman"/>
          <w:b/>
          <w:bCs/>
          <w:color w:val="auto"/>
          <w:sz w:val="32"/>
          <w:szCs w:val="32"/>
          <w:highlight w:val="none"/>
        </w:rPr>
        <w:t>年国有资本经营预算执行情况</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年策勒县国有资本经营总收入</w:t>
      </w:r>
      <w:r>
        <w:rPr>
          <w:rFonts w:hint="default" w:ascii="Times New Roman" w:hAnsi="Times New Roman" w:eastAsia="方正仿宋简体" w:cs="Times New Roman"/>
          <w:color w:val="auto"/>
          <w:sz w:val="32"/>
          <w:szCs w:val="32"/>
          <w:highlight w:val="none"/>
          <w:lang w:val="en-US" w:eastAsia="zh-CN"/>
        </w:rPr>
        <w:t>118</w:t>
      </w:r>
      <w:r>
        <w:rPr>
          <w:rFonts w:hint="default" w:ascii="Times New Roman" w:hAnsi="Times New Roman" w:eastAsia="方正仿宋简体" w:cs="Times New Roman"/>
          <w:color w:val="auto"/>
          <w:sz w:val="32"/>
          <w:szCs w:val="32"/>
          <w:highlight w:val="none"/>
        </w:rPr>
        <w:t>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kern w:val="0"/>
          <w:sz w:val="32"/>
          <w:szCs w:val="40"/>
          <w:highlight w:val="none"/>
          <w:lang w:val="en-US" w:eastAsia="zh-CN" w:bidi="ar"/>
        </w:rPr>
        <w:t>2025年我县本级国有资本经营预算收入累计完成53万元，完成任务66万元的80.30%，较上年同期50万元，增收3万元，增长6%。</w:t>
      </w:r>
      <w:r>
        <w:rPr>
          <w:rFonts w:hint="default" w:ascii="Times New Roman" w:hAnsi="Times New Roman" w:eastAsia="方正仿宋简体" w:cs="Times New Roman"/>
          <w:color w:val="auto"/>
          <w:sz w:val="32"/>
          <w:szCs w:val="32"/>
          <w:highlight w:val="none"/>
        </w:rPr>
        <w:t>专项转移收入1万元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上年结余64万元</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kern w:val="0"/>
          <w:sz w:val="32"/>
          <w:szCs w:val="40"/>
          <w:highlight w:val="none"/>
          <w:lang w:val="en-US" w:eastAsia="zh-CN" w:bidi="ar"/>
        </w:rPr>
      </w:pPr>
      <w:r>
        <w:rPr>
          <w:rFonts w:hint="default" w:ascii="Times New Roman" w:hAnsi="Times New Roman" w:eastAsia="方正仿宋简体" w:cs="Times New Roman"/>
          <w:color w:val="auto"/>
          <w:kern w:val="0"/>
          <w:sz w:val="32"/>
          <w:szCs w:val="40"/>
          <w:highlight w:val="none"/>
          <w:lang w:val="en-US" w:eastAsia="zh-CN" w:bidi="ar"/>
        </w:rPr>
        <w:t>2025年我县国有资本经营预算支出累计完成21万元，较上年同期1万元增支20万元，增长2000%。</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调出资金39万元。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color w:val="auto"/>
          <w:sz w:val="32"/>
          <w:szCs w:val="32"/>
          <w:highlight w:val="none"/>
        </w:rPr>
        <w:t>收支相抵</w:t>
      </w:r>
      <w:r>
        <w:rPr>
          <w:rFonts w:hint="default" w:ascii="Times New Roman" w:hAnsi="Times New Roman" w:eastAsia="方正仿宋简体" w:cs="Times New Roman"/>
          <w:color w:val="auto"/>
          <w:sz w:val="32"/>
          <w:szCs w:val="32"/>
          <w:highlight w:val="none"/>
          <w:lang w:val="en-US" w:eastAsia="zh-CN"/>
        </w:rPr>
        <w:t>结转58</w:t>
      </w:r>
      <w:r>
        <w:rPr>
          <w:rFonts w:hint="default" w:ascii="Times New Roman" w:hAnsi="Times New Roman" w:eastAsia="方正仿宋简体" w:cs="Times New Roman"/>
          <w:color w:val="auto"/>
          <w:sz w:val="32"/>
          <w:szCs w:val="32"/>
          <w:highlight w:val="none"/>
        </w:rPr>
        <w:t>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（四）2025年社会保险基金预算执行情况</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napToGrid/>
        <w:spacing w:line="580" w:lineRule="exact"/>
        <w:ind w:left="0" w:leftChars="0" w:firstLine="640" w:firstLineChars="200"/>
        <w:jc w:val="both"/>
        <w:rPr>
          <w:rFonts w:hint="default" w:ascii="Times New Roman" w:hAnsi="Times New Roman" w:eastAsia="方正仿宋简体" w:cs="Times New Roman"/>
          <w:color w:val="auto"/>
          <w:kern w:val="0"/>
          <w:sz w:val="32"/>
          <w:szCs w:val="40"/>
          <w:highlight w:val="none"/>
          <w:lang w:val="en-US" w:eastAsia="zh-CN" w:bidi="ar"/>
        </w:rPr>
      </w:pPr>
      <w:bookmarkStart w:id="0" w:name="OLE_LINK3"/>
      <w:r>
        <w:rPr>
          <w:rFonts w:hint="default" w:ascii="Times New Roman" w:hAnsi="Times New Roman" w:eastAsia="方正仿宋简体" w:cs="Times New Roman"/>
          <w:color w:val="auto"/>
          <w:kern w:val="0"/>
          <w:sz w:val="32"/>
          <w:szCs w:val="40"/>
          <w:highlight w:val="none"/>
          <w:lang w:val="en-US" w:eastAsia="zh-CN" w:bidi="ar"/>
        </w:rPr>
        <w:t>2025年社会保险基金收入完成6235万元，完成预算6404万元的97.36%，社会保险基金支出4496万元，完成预算4229万元的106.31%，收支相抵当年结余1739万元。</w:t>
      </w:r>
      <w:bookmarkEnd w:id="0"/>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sz w:val="32"/>
          <w:szCs w:val="32"/>
          <w:highlight w:val="none"/>
        </w:rPr>
        <w:t>（五）政府性债务情况</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年我县新增地方债券</w:t>
      </w:r>
      <w:r>
        <w:rPr>
          <w:rFonts w:hint="default" w:ascii="Times New Roman" w:hAnsi="Times New Roman" w:eastAsia="方正仿宋简体" w:cs="Times New Roman"/>
          <w:color w:val="auto"/>
          <w:sz w:val="32"/>
          <w:szCs w:val="32"/>
          <w:highlight w:val="none"/>
          <w:lang w:val="en-US" w:eastAsia="zh-CN"/>
        </w:rPr>
        <w:t>126500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一般债券</w:t>
      </w:r>
      <w:r>
        <w:rPr>
          <w:rFonts w:hint="default" w:ascii="Times New Roman" w:hAnsi="Times New Roman" w:eastAsia="方正仿宋简体" w:cs="Times New Roman"/>
          <w:color w:val="auto"/>
          <w:sz w:val="32"/>
          <w:szCs w:val="32"/>
          <w:highlight w:val="none"/>
          <w:lang w:val="en-US" w:eastAsia="zh-CN"/>
        </w:rPr>
        <w:t>28000</w:t>
      </w:r>
      <w:r>
        <w:rPr>
          <w:rFonts w:hint="default" w:ascii="Times New Roman" w:hAnsi="Times New Roman" w:eastAsia="方正仿宋简体" w:cs="Times New Roman"/>
          <w:color w:val="auto"/>
          <w:sz w:val="32"/>
          <w:szCs w:val="32"/>
          <w:highlight w:val="none"/>
        </w:rPr>
        <w:t>万元，专项</w:t>
      </w:r>
      <w:r>
        <w:rPr>
          <w:rFonts w:hint="default" w:ascii="Times New Roman" w:hAnsi="Times New Roman" w:eastAsia="方正仿宋简体" w:cs="Times New Roman"/>
          <w:color w:val="auto"/>
          <w:sz w:val="32"/>
          <w:szCs w:val="32"/>
          <w:highlight w:val="none"/>
          <w:lang w:val="en-US" w:eastAsia="zh-CN"/>
        </w:rPr>
        <w:t>债券94000</w:t>
      </w:r>
      <w:r>
        <w:rPr>
          <w:rFonts w:hint="default" w:ascii="Times New Roman" w:hAnsi="Times New Roman" w:eastAsia="方正仿宋简体" w:cs="Times New Roman"/>
          <w:color w:val="auto"/>
          <w:sz w:val="32"/>
          <w:szCs w:val="32"/>
          <w:highlight w:val="none"/>
        </w:rPr>
        <w:t>万元，再融资债券</w:t>
      </w:r>
      <w:r>
        <w:rPr>
          <w:rFonts w:hint="default" w:ascii="Times New Roman" w:hAnsi="Times New Roman" w:eastAsia="方正仿宋简体" w:cs="Times New Roman"/>
          <w:color w:val="auto"/>
          <w:sz w:val="32"/>
          <w:szCs w:val="32"/>
          <w:highlight w:val="none"/>
          <w:lang w:val="en-US" w:eastAsia="zh-CN"/>
        </w:rPr>
        <w:t>4500</w:t>
      </w:r>
      <w:r>
        <w:rPr>
          <w:rFonts w:hint="default" w:ascii="Times New Roman" w:hAnsi="Times New Roman" w:eastAsia="方正仿宋简体" w:cs="Times New Roman"/>
          <w:color w:val="auto"/>
          <w:sz w:val="32"/>
          <w:szCs w:val="32"/>
          <w:highlight w:val="none"/>
        </w:rPr>
        <w:t>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截至2025年底，我县地方政府债券债务余额813089万元。其中：地方政府债券债务本金643226万元（其中一般债券本金321426 万元、专项债券本金321800万元）；地方政府债券债务利息169863万元（其中一般债券利息65014万元，专项债券利息104849万元）。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rPr>
        <w:t>（六）202</w:t>
      </w:r>
      <w:r>
        <w:rPr>
          <w:rFonts w:hint="default" w:ascii="Times New Roman" w:hAnsi="Times New Roman" w:eastAsia="方正仿宋简体" w:cs="Times New Roman"/>
          <w:b/>
          <w:bCs/>
          <w:color w:val="auto"/>
          <w:sz w:val="32"/>
          <w:szCs w:val="32"/>
          <w:highlight w:val="none"/>
          <w:lang w:val="en-US" w:eastAsia="zh-CN"/>
        </w:rPr>
        <w:t>5</w:t>
      </w:r>
      <w:r>
        <w:rPr>
          <w:rFonts w:hint="default" w:ascii="Times New Roman" w:hAnsi="Times New Roman" w:eastAsia="方正仿宋简体" w:cs="Times New Roman"/>
          <w:b/>
          <w:bCs/>
          <w:color w:val="auto"/>
          <w:sz w:val="32"/>
          <w:szCs w:val="32"/>
          <w:highlight w:val="none"/>
        </w:rPr>
        <w:t>年财政重点工作落实情况</w:t>
      </w:r>
    </w:p>
    <w:p>
      <w:pPr>
        <w:keepNext w:val="0"/>
        <w:keepLines w:val="0"/>
        <w:pageBreakBefore w:val="0"/>
        <w:widowControl w:val="0"/>
        <w:numPr>
          <w:ilvl w:val="0"/>
          <w:numId w:val="2"/>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rPr>
        <w:t>抓收入保平衡，努力增强财政保障能力。</w:t>
      </w:r>
      <w:r>
        <w:rPr>
          <w:rFonts w:hint="default" w:ascii="Times New Roman" w:hAnsi="Times New Roman" w:eastAsia="方正仿宋简体" w:cs="Times New Roman"/>
          <w:b/>
          <w:bCs/>
          <w:color w:val="auto"/>
          <w:sz w:val="32"/>
          <w:szCs w:val="32"/>
          <w:highlight w:val="none"/>
        </w:rPr>
        <w:t>一是</w:t>
      </w:r>
      <w:r>
        <w:rPr>
          <w:rFonts w:hint="default" w:ascii="Times New Roman" w:hAnsi="Times New Roman" w:eastAsia="方正仿宋简体" w:cs="Times New Roman"/>
          <w:color w:val="auto"/>
          <w:sz w:val="32"/>
          <w:szCs w:val="32"/>
          <w:highlight w:val="none"/>
        </w:rPr>
        <w:t>积极组织财政收入，努力做到应收尽收、应缴尽缴</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二是多渠道筹措资金，努力保障收支平衡。积极争取</w:t>
      </w:r>
      <w:r>
        <w:rPr>
          <w:rFonts w:hint="default" w:ascii="Times New Roman" w:hAnsi="Times New Roman" w:eastAsia="方正仿宋简体" w:cs="Times New Roman"/>
          <w:color w:val="auto"/>
          <w:sz w:val="32"/>
          <w:szCs w:val="32"/>
          <w:highlight w:val="none"/>
          <w:lang w:val="en-US" w:eastAsia="zh-CN"/>
        </w:rPr>
        <w:t>资金467464万元，其中：</w:t>
      </w:r>
      <w:r>
        <w:rPr>
          <w:rFonts w:hint="default" w:ascii="Times New Roman" w:hAnsi="Times New Roman" w:eastAsia="方正仿宋简体" w:cs="Times New Roman"/>
          <w:color w:val="auto"/>
          <w:sz w:val="32"/>
          <w:szCs w:val="32"/>
          <w:highlight w:val="none"/>
        </w:rPr>
        <w:t>一般性转移支付</w:t>
      </w:r>
      <w:r>
        <w:rPr>
          <w:rFonts w:hint="default" w:ascii="Times New Roman" w:hAnsi="Times New Roman" w:eastAsia="方正仿宋简体" w:cs="Times New Roman"/>
          <w:color w:val="auto"/>
          <w:sz w:val="32"/>
          <w:szCs w:val="32"/>
          <w:highlight w:val="none"/>
          <w:lang w:val="en-US" w:eastAsia="zh-CN"/>
        </w:rPr>
        <w:t>资金289122</w:t>
      </w:r>
      <w:r>
        <w:rPr>
          <w:rFonts w:hint="default" w:ascii="Times New Roman" w:hAnsi="Times New Roman" w:eastAsia="方正仿宋简体" w:cs="Times New Roman"/>
          <w:color w:val="auto"/>
          <w:sz w:val="32"/>
          <w:szCs w:val="32"/>
          <w:highlight w:val="none"/>
        </w:rPr>
        <w:t>万元，专项转移支付</w:t>
      </w:r>
      <w:r>
        <w:rPr>
          <w:rFonts w:hint="default" w:ascii="Times New Roman" w:hAnsi="Times New Roman" w:eastAsia="方正仿宋简体" w:cs="Times New Roman"/>
          <w:color w:val="auto"/>
          <w:sz w:val="32"/>
          <w:szCs w:val="32"/>
          <w:highlight w:val="none"/>
          <w:lang w:val="en-US" w:eastAsia="zh-CN"/>
        </w:rPr>
        <w:t>资金51842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一般债券</w:t>
      </w:r>
      <w:r>
        <w:rPr>
          <w:rFonts w:hint="default" w:ascii="Times New Roman" w:hAnsi="Times New Roman" w:eastAsia="方正仿宋简体" w:cs="Times New Roman"/>
          <w:color w:val="auto"/>
          <w:sz w:val="32"/>
          <w:szCs w:val="32"/>
          <w:highlight w:val="none"/>
          <w:lang w:val="en-US" w:eastAsia="zh-CN"/>
        </w:rPr>
        <w:t>资金28000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专项债券</w:t>
      </w:r>
      <w:r>
        <w:rPr>
          <w:rFonts w:hint="default" w:ascii="Times New Roman" w:hAnsi="Times New Roman" w:eastAsia="方正仿宋简体" w:cs="Times New Roman"/>
          <w:color w:val="auto"/>
          <w:sz w:val="32"/>
          <w:szCs w:val="32"/>
          <w:highlight w:val="none"/>
          <w:lang w:val="en-US" w:eastAsia="zh-CN"/>
        </w:rPr>
        <w:t>资金94000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再融资债券4500万元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全力支持教育、交通、农林水利、城市道路建设等民生领域项目建设。</w:t>
      </w:r>
      <w:r>
        <w:rPr>
          <w:rFonts w:hint="default" w:ascii="Times New Roman" w:hAnsi="Times New Roman" w:eastAsia="方正仿宋简体" w:cs="Times New Roman"/>
          <w:color w:val="auto"/>
          <w:sz w:val="32"/>
          <w:szCs w:val="32"/>
          <w:highlight w:val="none"/>
          <w:lang w:val="en-US" w:eastAsia="zh-CN"/>
        </w:rPr>
        <w:t>三</w:t>
      </w:r>
      <w:r>
        <w:rPr>
          <w:rFonts w:hint="default" w:ascii="Times New Roman" w:hAnsi="Times New Roman" w:eastAsia="方正仿宋简体" w:cs="Times New Roman"/>
          <w:color w:val="auto"/>
          <w:sz w:val="32"/>
          <w:szCs w:val="32"/>
          <w:highlight w:val="none"/>
        </w:rPr>
        <w:t>是全力支持</w:t>
      </w:r>
      <w:r>
        <w:rPr>
          <w:rFonts w:hint="eastAsia" w:eastAsia="方正仿宋简体" w:cs="Times New Roman"/>
          <w:color w:val="auto"/>
          <w:sz w:val="32"/>
          <w:szCs w:val="32"/>
          <w:highlight w:val="none"/>
          <w:lang w:eastAsia="zh-CN"/>
        </w:rPr>
        <w:t>巩固拓展脱贫攻坚成果同乡村振兴有效衔接</w:t>
      </w:r>
      <w:r>
        <w:rPr>
          <w:rFonts w:hint="default" w:ascii="Times New Roman" w:hAnsi="Times New Roman" w:eastAsia="方正仿宋简体" w:cs="Times New Roman"/>
          <w:color w:val="auto"/>
          <w:sz w:val="32"/>
          <w:szCs w:val="32"/>
          <w:highlight w:val="none"/>
        </w:rPr>
        <w:t>工作。</w:t>
      </w:r>
      <w:r>
        <w:rPr>
          <w:rFonts w:hint="default" w:ascii="Times New Roman" w:hAnsi="Times New Roman" w:eastAsia="方正仿宋简体" w:cs="Times New Roman"/>
          <w:color w:val="auto"/>
          <w:sz w:val="32"/>
          <w:highlight w:val="none"/>
          <w:lang w:val="en-US" w:eastAsia="zh-CN"/>
        </w:rPr>
        <w:t>2025年共计实施乡村振兴项目49个，涉及资金41864万元，累计支出40698万元，支付率97.2%（包含县级165万元）。</w:t>
      </w:r>
      <w:r>
        <w:rPr>
          <w:rFonts w:hint="default" w:ascii="Times New Roman" w:hAnsi="Times New Roman" w:eastAsia="方正仿宋简体" w:cs="Times New Roman"/>
          <w:color w:val="auto"/>
          <w:sz w:val="32"/>
          <w:szCs w:val="32"/>
          <w:highlight w:val="none"/>
          <w:lang w:val="en-US" w:eastAsia="zh-CN"/>
        </w:rPr>
        <w:t>四是2025年通过“一卡通”发放各类补贴90项，发放总金额58136万元。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80" w:lineRule="exact"/>
        <w:ind w:firstLine="640" w:firstLineChars="200"/>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rPr>
        <w:t>2</w:t>
      </w:r>
      <w:r>
        <w:rPr>
          <w:rFonts w:hint="default" w:ascii="Times New Roman" w:hAnsi="Times New Roman" w:eastAsia="方正楷体简体" w:cs="Times New Roman"/>
          <w:color w:val="auto"/>
          <w:sz w:val="32"/>
          <w:szCs w:val="32"/>
          <w:highlight w:val="none"/>
          <w:lang w:eastAsia="zh-CN"/>
        </w:rPr>
        <w:t>、</w:t>
      </w:r>
      <w:r>
        <w:rPr>
          <w:rFonts w:hint="default" w:ascii="Times New Roman" w:hAnsi="Times New Roman" w:eastAsia="方正楷体简体" w:cs="Times New Roman"/>
          <w:color w:val="auto"/>
          <w:sz w:val="32"/>
          <w:szCs w:val="32"/>
          <w:highlight w:val="none"/>
          <w:lang w:val="en-US" w:eastAsia="zh-CN"/>
        </w:rPr>
        <w:t>坚持“三保”首要地位，切实兜牢兜实“三保”底线。</w:t>
      </w:r>
      <w:r>
        <w:rPr>
          <w:rFonts w:hint="default" w:ascii="Times New Roman" w:hAnsi="Times New Roman" w:eastAsia="方正仿宋简体" w:cs="Times New Roman"/>
          <w:color w:val="auto"/>
          <w:sz w:val="32"/>
          <w:szCs w:val="32"/>
          <w:highlight w:val="none"/>
          <w:lang w:val="en-US" w:eastAsia="zh-CN"/>
        </w:rPr>
        <w:t>坚决打足资金，应保尽保，确保“三保”预算不留缺口。优先保障在职及退休人员个人部分支出；坚持树牢“过紧日子”思想，严格控制各预算单位一般性支出；将财力持续向“保民生”领域倾斜，按时足额保障民政类、卫生健康类、义务兵和退役安置类、教育类民生支出。坚决做到工资性支出“不缩水”、运转类支出“不停滞”、民生类支出“不含糊”。2025年“三保”累计支出204733万元，占总支出345294万元的59.3%。其中：保工资支出128232万元，保运转支出2485万元，保基本民生支出74016万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楷体简体" w:cs="Times New Roman"/>
          <w:color w:val="auto"/>
          <w:sz w:val="32"/>
          <w:szCs w:val="32"/>
          <w:highlight w:val="none"/>
          <w:lang w:val="en-US" w:eastAsia="zh-CN"/>
        </w:rPr>
        <w:t>3、</w:t>
      </w:r>
      <w:r>
        <w:rPr>
          <w:rFonts w:hint="default" w:ascii="Times New Roman" w:hAnsi="Times New Roman" w:eastAsia="方正楷体简体" w:cs="Times New Roman"/>
          <w:color w:val="auto"/>
          <w:sz w:val="32"/>
          <w:szCs w:val="32"/>
          <w:highlight w:val="none"/>
        </w:rPr>
        <w:t>优化支出结构，</w:t>
      </w:r>
      <w:r>
        <w:rPr>
          <w:rFonts w:hint="default" w:ascii="Times New Roman" w:hAnsi="Times New Roman" w:eastAsia="方正楷体简体" w:cs="Times New Roman"/>
          <w:color w:val="auto"/>
          <w:sz w:val="32"/>
          <w:highlight w:val="none"/>
          <w:lang w:val="en-US" w:eastAsia="zh-CN"/>
        </w:rPr>
        <w:t>切实优化服务水平</w:t>
      </w:r>
      <w:r>
        <w:rPr>
          <w:rFonts w:hint="default" w:ascii="Times New Roman" w:hAnsi="Times New Roman" w:eastAsia="方正楷体简体" w:cs="Times New Roman"/>
          <w:color w:val="auto"/>
          <w:sz w:val="32"/>
          <w:szCs w:val="32"/>
          <w:highlight w:val="none"/>
        </w:rPr>
        <w:t>。</w:t>
      </w:r>
      <w:r>
        <w:rPr>
          <w:rFonts w:hint="default" w:ascii="Times New Roman" w:hAnsi="Times New Roman" w:eastAsia="方正仿宋简体" w:cs="Times New Roman"/>
          <w:b/>
          <w:bCs/>
          <w:color w:val="auto"/>
          <w:sz w:val="32"/>
          <w:szCs w:val="32"/>
          <w:highlight w:val="none"/>
        </w:rPr>
        <w:t>一是</w:t>
      </w:r>
      <w:r>
        <w:rPr>
          <w:rFonts w:hint="default" w:ascii="Times New Roman" w:hAnsi="Times New Roman" w:eastAsia="方正仿宋简体" w:cs="Times New Roman"/>
          <w:color w:val="auto"/>
          <w:sz w:val="32"/>
          <w:szCs w:val="32"/>
          <w:highlight w:val="none"/>
        </w:rPr>
        <w:t>全面落实政府“过紧日子”要求，坚持量入为出、精打细算、节用裕民，严把预算支出关口，严控“三公”经费，压减一般性支出。202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年“三公”经费支出下降</w:t>
      </w:r>
      <w:r>
        <w:rPr>
          <w:rFonts w:hint="default" w:ascii="Times New Roman" w:hAnsi="Times New Roman" w:eastAsia="方正仿宋简体" w:cs="Times New Roman"/>
          <w:color w:val="auto"/>
          <w:sz w:val="32"/>
          <w:szCs w:val="32"/>
          <w:highlight w:val="none"/>
          <w:lang w:val="en-US" w:eastAsia="zh-CN"/>
        </w:rPr>
        <w:t>1.5</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rPr>
        <w:t>二是</w:t>
      </w:r>
      <w:r>
        <w:rPr>
          <w:rFonts w:hint="default" w:ascii="Times New Roman" w:hAnsi="Times New Roman" w:eastAsia="方正仿宋简体" w:cs="Times New Roman"/>
          <w:color w:val="auto"/>
          <w:sz w:val="32"/>
          <w:szCs w:val="32"/>
          <w:highlight w:val="none"/>
        </w:rPr>
        <w:t>努力保障民生支出。</w:t>
      </w:r>
      <w:r>
        <w:rPr>
          <w:rFonts w:hint="default" w:ascii="Times New Roman" w:hAnsi="Times New Roman" w:eastAsia="方正仿宋简体" w:cs="Times New Roman"/>
          <w:color w:val="auto"/>
          <w:sz w:val="32"/>
          <w:szCs w:val="32"/>
          <w:highlight w:val="none"/>
          <w:lang w:val="en-US" w:eastAsia="zh-CN"/>
        </w:rPr>
        <w:t>2025年</w:t>
      </w:r>
      <w:r>
        <w:rPr>
          <w:rFonts w:hint="default" w:ascii="Times New Roman" w:hAnsi="Times New Roman" w:eastAsia="方正仿宋简体" w:cs="Times New Roman"/>
          <w:color w:val="auto"/>
          <w:sz w:val="32"/>
          <w:szCs w:val="32"/>
          <w:highlight w:val="none"/>
        </w:rPr>
        <w:t>用于民生领域的支出</w:t>
      </w:r>
      <w:r>
        <w:rPr>
          <w:rFonts w:hint="default" w:ascii="Times New Roman" w:hAnsi="Times New Roman" w:eastAsia="方正仿宋简体" w:cs="Times New Roman"/>
          <w:color w:val="auto"/>
          <w:sz w:val="32"/>
          <w:szCs w:val="32"/>
          <w:highlight w:val="none"/>
          <w:lang w:val="en-US" w:eastAsia="zh-CN"/>
        </w:rPr>
        <w:t>262422</w:t>
      </w:r>
      <w:r>
        <w:rPr>
          <w:rFonts w:hint="default" w:ascii="Times New Roman" w:hAnsi="Times New Roman" w:eastAsia="方正仿宋简体" w:cs="Times New Roman"/>
          <w:color w:val="auto"/>
          <w:sz w:val="32"/>
          <w:szCs w:val="32"/>
          <w:highlight w:val="none"/>
        </w:rPr>
        <w:t>万元，占财政一般公共预算支出的</w:t>
      </w:r>
      <w:r>
        <w:rPr>
          <w:rFonts w:hint="default" w:ascii="Times New Roman" w:hAnsi="Times New Roman" w:eastAsia="方正仿宋简体" w:cs="Times New Roman"/>
          <w:color w:val="auto"/>
          <w:sz w:val="32"/>
          <w:szCs w:val="32"/>
          <w:highlight w:val="none"/>
          <w:lang w:val="en-US" w:eastAsia="zh-CN"/>
        </w:rPr>
        <w:t>76</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比去年同期下降7%</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其中</w:t>
      </w:r>
      <w:r>
        <w:rPr>
          <w:rFonts w:hint="default" w:ascii="Times New Roman" w:hAnsi="Times New Roman" w:eastAsia="方正仿宋简体" w:cs="Times New Roman"/>
          <w:color w:val="auto"/>
          <w:sz w:val="32"/>
          <w:szCs w:val="32"/>
          <w:highlight w:val="none"/>
        </w:rPr>
        <w:t>：教育支出</w:t>
      </w:r>
      <w:r>
        <w:rPr>
          <w:rFonts w:hint="default" w:ascii="Times New Roman" w:hAnsi="Times New Roman" w:eastAsia="方正仿宋简体" w:cs="Times New Roman"/>
          <w:color w:val="auto"/>
          <w:sz w:val="32"/>
          <w:szCs w:val="32"/>
          <w:highlight w:val="none"/>
          <w:lang w:val="en-US" w:eastAsia="zh-CN"/>
        </w:rPr>
        <w:t>85550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比去年同期下降6.1%</w:t>
      </w:r>
      <w:r>
        <w:rPr>
          <w:rFonts w:hint="default" w:ascii="Times New Roman" w:hAnsi="Times New Roman" w:eastAsia="方正仿宋简体" w:cs="Times New Roman"/>
          <w:color w:val="auto"/>
          <w:sz w:val="32"/>
          <w:szCs w:val="32"/>
          <w:highlight w:val="none"/>
        </w:rPr>
        <w:t>、科学技术支出</w:t>
      </w:r>
      <w:r>
        <w:rPr>
          <w:rFonts w:hint="default" w:ascii="Times New Roman" w:hAnsi="Times New Roman" w:eastAsia="方正仿宋简体" w:cs="Times New Roman"/>
          <w:color w:val="auto"/>
          <w:sz w:val="32"/>
          <w:szCs w:val="32"/>
          <w:highlight w:val="none"/>
          <w:lang w:val="en-US" w:eastAsia="zh-CN"/>
        </w:rPr>
        <w:t>619</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比去年同期增长2 %</w:t>
      </w:r>
      <w:r>
        <w:rPr>
          <w:rFonts w:hint="default" w:ascii="Times New Roman" w:hAnsi="Times New Roman" w:eastAsia="方正仿宋简体" w:cs="Times New Roman"/>
          <w:color w:val="auto"/>
          <w:sz w:val="32"/>
          <w:szCs w:val="32"/>
          <w:highlight w:val="none"/>
        </w:rPr>
        <w:t>、文化旅游体育与传媒支出</w:t>
      </w:r>
      <w:r>
        <w:rPr>
          <w:rFonts w:hint="default" w:ascii="Times New Roman" w:hAnsi="Times New Roman" w:eastAsia="方正仿宋简体" w:cs="Times New Roman"/>
          <w:color w:val="auto"/>
          <w:sz w:val="32"/>
          <w:szCs w:val="32"/>
          <w:highlight w:val="none"/>
          <w:lang w:val="en-US" w:eastAsia="zh-CN"/>
        </w:rPr>
        <w:t>3318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比去年同期增长19.4%</w:t>
      </w:r>
      <w:r>
        <w:rPr>
          <w:rFonts w:hint="default" w:ascii="Times New Roman" w:hAnsi="Times New Roman" w:eastAsia="方正仿宋简体" w:cs="Times New Roman"/>
          <w:color w:val="auto"/>
          <w:sz w:val="32"/>
          <w:szCs w:val="32"/>
          <w:highlight w:val="none"/>
        </w:rPr>
        <w:t>、社会保障和就业支出</w:t>
      </w:r>
      <w:r>
        <w:rPr>
          <w:rFonts w:hint="default" w:ascii="Times New Roman" w:hAnsi="Times New Roman" w:eastAsia="方正仿宋简体" w:cs="Times New Roman"/>
          <w:color w:val="auto"/>
          <w:sz w:val="32"/>
          <w:szCs w:val="32"/>
          <w:highlight w:val="none"/>
          <w:lang w:val="en-US" w:eastAsia="zh-CN"/>
        </w:rPr>
        <w:t>30938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比去年同期下降1%</w:t>
      </w:r>
      <w:r>
        <w:rPr>
          <w:rFonts w:hint="default" w:ascii="Times New Roman" w:hAnsi="Times New Roman" w:eastAsia="方正仿宋简体" w:cs="Times New Roman"/>
          <w:color w:val="auto"/>
          <w:sz w:val="32"/>
          <w:szCs w:val="32"/>
          <w:highlight w:val="none"/>
        </w:rPr>
        <w:t>、卫生健康支出</w:t>
      </w:r>
      <w:r>
        <w:rPr>
          <w:rFonts w:hint="default" w:ascii="Times New Roman" w:hAnsi="Times New Roman" w:eastAsia="方正仿宋简体" w:cs="Times New Roman"/>
          <w:color w:val="auto"/>
          <w:sz w:val="32"/>
          <w:szCs w:val="32"/>
          <w:highlight w:val="none"/>
          <w:lang w:val="en-US" w:eastAsia="zh-CN"/>
        </w:rPr>
        <w:t>20808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比去年同期增长17.9%</w:t>
      </w:r>
      <w:r>
        <w:rPr>
          <w:rFonts w:hint="default" w:ascii="Times New Roman" w:hAnsi="Times New Roman" w:eastAsia="方正仿宋简体" w:cs="Times New Roman"/>
          <w:color w:val="auto"/>
          <w:sz w:val="32"/>
          <w:szCs w:val="32"/>
          <w:highlight w:val="none"/>
        </w:rPr>
        <w:t>、节能环保支出</w:t>
      </w:r>
      <w:r>
        <w:rPr>
          <w:rFonts w:hint="default" w:ascii="Times New Roman" w:hAnsi="Times New Roman" w:eastAsia="方正仿宋简体" w:cs="Times New Roman"/>
          <w:color w:val="auto"/>
          <w:sz w:val="32"/>
          <w:szCs w:val="32"/>
          <w:highlight w:val="none"/>
          <w:lang w:val="en-US" w:eastAsia="zh-CN"/>
        </w:rPr>
        <w:t>4328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比去年同期下降53%</w:t>
      </w:r>
      <w:r>
        <w:rPr>
          <w:rFonts w:hint="default" w:ascii="Times New Roman" w:hAnsi="Times New Roman" w:eastAsia="方正仿宋简体" w:cs="Times New Roman"/>
          <w:color w:val="auto"/>
          <w:sz w:val="32"/>
          <w:szCs w:val="32"/>
          <w:highlight w:val="none"/>
        </w:rPr>
        <w:t>、城乡社区支出</w:t>
      </w:r>
      <w:r>
        <w:rPr>
          <w:rFonts w:hint="default" w:ascii="Times New Roman" w:hAnsi="Times New Roman" w:eastAsia="方正仿宋简体" w:cs="Times New Roman"/>
          <w:color w:val="auto"/>
          <w:sz w:val="32"/>
          <w:szCs w:val="32"/>
          <w:highlight w:val="none"/>
          <w:lang w:val="en-US" w:eastAsia="zh-CN"/>
        </w:rPr>
        <w:t>17676</w:t>
      </w:r>
      <w:r>
        <w:rPr>
          <w:rFonts w:hint="default" w:ascii="Times New Roman" w:hAnsi="Times New Roman" w:eastAsia="方正仿宋简体" w:cs="Times New Roman"/>
          <w:color w:val="auto"/>
          <w:sz w:val="32"/>
          <w:szCs w:val="32"/>
          <w:highlight w:val="none"/>
        </w:rPr>
        <w:t>万</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比去年同期增长253.9%</w:t>
      </w:r>
      <w:r>
        <w:rPr>
          <w:rFonts w:hint="default" w:ascii="Times New Roman" w:hAnsi="Times New Roman" w:eastAsia="方正仿宋简体" w:cs="Times New Roman"/>
          <w:color w:val="auto"/>
          <w:sz w:val="32"/>
          <w:szCs w:val="32"/>
          <w:highlight w:val="none"/>
        </w:rPr>
        <w:t>、农林水支出</w:t>
      </w:r>
      <w:r>
        <w:rPr>
          <w:rFonts w:hint="default" w:ascii="Times New Roman" w:hAnsi="Times New Roman" w:eastAsia="方正仿宋简体" w:cs="Times New Roman"/>
          <w:color w:val="auto"/>
          <w:sz w:val="32"/>
          <w:szCs w:val="32"/>
          <w:highlight w:val="none"/>
          <w:lang w:val="en-US" w:eastAsia="zh-CN"/>
        </w:rPr>
        <w:t>77698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比去年同期下降26.4%</w:t>
      </w:r>
      <w:r>
        <w:rPr>
          <w:rFonts w:hint="default" w:ascii="Times New Roman" w:hAnsi="Times New Roman" w:eastAsia="方正仿宋简体" w:cs="Times New Roman"/>
          <w:color w:val="auto"/>
          <w:sz w:val="32"/>
          <w:szCs w:val="32"/>
          <w:highlight w:val="none"/>
        </w:rPr>
        <w:t>、交通运输支出</w:t>
      </w:r>
      <w:r>
        <w:rPr>
          <w:rFonts w:hint="default" w:ascii="Times New Roman" w:hAnsi="Times New Roman" w:eastAsia="方正仿宋简体" w:cs="Times New Roman"/>
          <w:color w:val="auto"/>
          <w:sz w:val="32"/>
          <w:szCs w:val="32"/>
          <w:highlight w:val="none"/>
          <w:lang w:val="en-US" w:eastAsia="zh-CN"/>
        </w:rPr>
        <w:t>10158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比去年同期增长36.1%</w:t>
      </w:r>
      <w:r>
        <w:rPr>
          <w:rFonts w:hint="default" w:ascii="Times New Roman" w:hAnsi="Times New Roman" w:eastAsia="方正仿宋简体" w:cs="Times New Roman"/>
          <w:color w:val="auto"/>
          <w:sz w:val="32"/>
          <w:szCs w:val="32"/>
          <w:highlight w:val="none"/>
        </w:rPr>
        <w:t>、商业服务业支出</w:t>
      </w:r>
      <w:r>
        <w:rPr>
          <w:rFonts w:hint="default" w:ascii="Times New Roman" w:hAnsi="Times New Roman" w:eastAsia="方正仿宋简体" w:cs="Times New Roman"/>
          <w:color w:val="auto"/>
          <w:sz w:val="32"/>
          <w:szCs w:val="32"/>
          <w:highlight w:val="none"/>
          <w:lang w:val="en-US" w:eastAsia="zh-CN"/>
        </w:rPr>
        <w:t>398</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比去年同期增长89.5%</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资源勘探</w:t>
      </w:r>
      <w:r>
        <w:rPr>
          <w:rFonts w:hint="default" w:ascii="Times New Roman" w:hAnsi="Times New Roman" w:eastAsia="方正仿宋简体" w:cs="Times New Roman"/>
          <w:color w:val="auto"/>
          <w:sz w:val="32"/>
          <w:szCs w:val="32"/>
          <w:highlight w:val="none"/>
        </w:rPr>
        <w:t>支出</w:t>
      </w:r>
      <w:r>
        <w:rPr>
          <w:rFonts w:hint="default" w:ascii="Times New Roman" w:hAnsi="Times New Roman" w:eastAsia="方正仿宋简体" w:cs="Times New Roman"/>
          <w:color w:val="auto"/>
          <w:sz w:val="32"/>
          <w:szCs w:val="32"/>
          <w:highlight w:val="none"/>
          <w:lang w:val="en-US" w:eastAsia="zh-CN"/>
        </w:rPr>
        <w:t>2830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比去年同期增长73%、</w:t>
      </w:r>
      <w:r>
        <w:rPr>
          <w:rFonts w:hint="default" w:ascii="Times New Roman" w:hAnsi="Times New Roman" w:eastAsia="方正仿宋简体" w:cs="Times New Roman"/>
          <w:color w:val="auto"/>
          <w:sz w:val="32"/>
          <w:szCs w:val="32"/>
          <w:highlight w:val="none"/>
        </w:rPr>
        <w:t>住房保障支出</w:t>
      </w:r>
      <w:r>
        <w:rPr>
          <w:rFonts w:hint="default" w:ascii="Times New Roman" w:hAnsi="Times New Roman" w:eastAsia="方正仿宋简体" w:cs="Times New Roman"/>
          <w:color w:val="auto"/>
          <w:sz w:val="32"/>
          <w:szCs w:val="32"/>
          <w:highlight w:val="none"/>
          <w:lang w:val="en-US" w:eastAsia="zh-CN"/>
        </w:rPr>
        <w:t>7195</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比去年同期下降25.3%</w:t>
      </w:r>
      <w:r>
        <w:rPr>
          <w:rFonts w:hint="default" w:ascii="Times New Roman" w:hAnsi="Times New Roman" w:eastAsia="方正仿宋简体" w:cs="Times New Roman"/>
          <w:color w:val="auto"/>
          <w:sz w:val="32"/>
          <w:szCs w:val="32"/>
          <w:highlight w:val="none"/>
        </w:rPr>
        <w:t>、自然资源海洋气象支出</w:t>
      </w:r>
      <w:r>
        <w:rPr>
          <w:rFonts w:hint="default" w:ascii="Times New Roman" w:hAnsi="Times New Roman" w:eastAsia="方正仿宋简体" w:cs="Times New Roman"/>
          <w:color w:val="auto"/>
          <w:sz w:val="32"/>
          <w:szCs w:val="32"/>
          <w:highlight w:val="none"/>
          <w:lang w:val="en-US" w:eastAsia="zh-CN"/>
        </w:rPr>
        <w:t>906</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比去年同期增长241.9%</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4、</w:t>
      </w:r>
      <w:r>
        <w:rPr>
          <w:rFonts w:hint="default" w:ascii="Times New Roman" w:hAnsi="Times New Roman" w:eastAsia="方正楷体简体" w:cs="Times New Roman"/>
          <w:color w:val="auto"/>
          <w:sz w:val="32"/>
          <w:highlight w:val="none"/>
          <w:lang w:eastAsia="zh-CN"/>
        </w:rPr>
        <w:t>有效</w:t>
      </w:r>
      <w:r>
        <w:rPr>
          <w:rFonts w:hint="default" w:ascii="Times New Roman" w:hAnsi="Times New Roman" w:eastAsia="方正楷体简体" w:cs="Times New Roman"/>
          <w:color w:val="auto"/>
          <w:sz w:val="32"/>
          <w:highlight w:val="none"/>
          <w:lang w:val="en-US" w:eastAsia="zh-CN"/>
        </w:rPr>
        <w:t>防范化解债务风险，牢牢守住红线底线。</w:t>
      </w:r>
      <w:r>
        <w:rPr>
          <w:rFonts w:hint="default" w:ascii="Times New Roman" w:hAnsi="Times New Roman" w:eastAsia="方正仿宋简体" w:cs="Times New Roman"/>
          <w:color w:val="auto"/>
          <w:sz w:val="32"/>
          <w:szCs w:val="32"/>
          <w:highlight w:val="none"/>
        </w:rPr>
        <w:t>在严控新增政府隐性债务的同时，防范化解债务风险，落实化债任务，促进全县经济社会持续平稳运行。</w:t>
      </w:r>
      <w:r>
        <w:rPr>
          <w:rFonts w:hint="default" w:ascii="Times New Roman" w:hAnsi="Times New Roman" w:eastAsia="方正仿宋简体" w:cs="Times New Roman"/>
          <w:color w:val="auto"/>
          <w:sz w:val="32"/>
          <w:szCs w:val="32"/>
          <w:highlight w:val="none"/>
          <w:lang w:val="en-US" w:eastAsia="zh-CN"/>
        </w:rPr>
        <w:t>2025年偿还地方政府债券还本付息16633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其中：</w:t>
      </w:r>
      <w:r>
        <w:rPr>
          <w:rFonts w:hint="default" w:ascii="Times New Roman" w:hAnsi="Times New Roman" w:eastAsia="方正仿宋简体" w:cs="Times New Roman"/>
          <w:color w:val="auto"/>
          <w:sz w:val="32"/>
          <w:szCs w:val="32"/>
          <w:highlight w:val="none"/>
        </w:rPr>
        <w:t>一般债券</w:t>
      </w:r>
      <w:r>
        <w:rPr>
          <w:rFonts w:hint="default" w:ascii="Times New Roman" w:hAnsi="Times New Roman" w:eastAsia="方正仿宋简体" w:cs="Times New Roman"/>
          <w:color w:val="auto"/>
          <w:sz w:val="32"/>
          <w:szCs w:val="32"/>
          <w:highlight w:val="none"/>
          <w:lang w:val="en-US" w:eastAsia="zh-CN"/>
        </w:rPr>
        <w:t>付</w:t>
      </w:r>
      <w:r>
        <w:rPr>
          <w:rFonts w:hint="default" w:ascii="Times New Roman" w:hAnsi="Times New Roman" w:eastAsia="方正仿宋简体" w:cs="Times New Roman"/>
          <w:color w:val="auto"/>
          <w:sz w:val="32"/>
          <w:szCs w:val="32"/>
          <w:highlight w:val="none"/>
        </w:rPr>
        <w:t>息</w:t>
      </w:r>
      <w:r>
        <w:rPr>
          <w:rFonts w:hint="default" w:ascii="Times New Roman" w:hAnsi="Times New Roman" w:eastAsia="方正仿宋简体" w:cs="Times New Roman"/>
          <w:color w:val="auto"/>
          <w:sz w:val="32"/>
          <w:szCs w:val="32"/>
          <w:highlight w:val="none"/>
          <w:lang w:val="en-US" w:eastAsia="zh-CN"/>
        </w:rPr>
        <w:t>9210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专项债券</w:t>
      </w:r>
      <w:r>
        <w:rPr>
          <w:rFonts w:hint="default" w:ascii="Times New Roman" w:hAnsi="Times New Roman" w:eastAsia="方正仿宋简体" w:cs="Times New Roman"/>
          <w:color w:val="auto"/>
          <w:sz w:val="32"/>
          <w:szCs w:val="32"/>
          <w:highlight w:val="none"/>
          <w:lang w:val="en-US" w:eastAsia="zh-CN"/>
        </w:rPr>
        <w:t>付息7423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，共计化解政府拖欠账款66179.14万元，完成年初任务74456.95万元的88.88%，同时严格规范举债行为，实现政府债务零发生。</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强化“三全”绩效管理刚性约束。全力构建“全过程、全方位、全覆盖”的预算绩效管理体系，将预算绩效管理贯穿预算编制、执行、决算全流程，2025年全年申报108个部门绩效目标362809.55万元，412个项目支出绩效目标55642.85万元。监控631个项目支出绩效101820.17万元，执行66061.32万元。同时选取部门整体和项目支出共计7个项目14586.43万元进行重点评价，达到“四本预算”、地方政府债券、政府采购和政府购买服务全覆盖。</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过去的一年</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是全县财政发展历经艰辛、饱经考验的一年</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虽然取得了一定的成绩</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但</w:t>
      </w:r>
      <w:r>
        <w:rPr>
          <w:rFonts w:hint="default" w:ascii="Times New Roman" w:hAnsi="Times New Roman" w:eastAsia="方正仿宋简体" w:cs="Times New Roman"/>
          <w:color w:val="auto"/>
          <w:sz w:val="32"/>
          <w:szCs w:val="32"/>
          <w:highlight w:val="none"/>
        </w:rPr>
        <w:t>财政运行管理中还存在一些突出的困难：</w:t>
      </w:r>
      <w:r>
        <w:rPr>
          <w:rFonts w:hint="default" w:ascii="Times New Roman" w:hAnsi="Times New Roman" w:eastAsia="方正仿宋简体" w:cs="Times New Roman"/>
          <w:b/>
          <w:bCs/>
          <w:color w:val="auto"/>
          <w:sz w:val="32"/>
          <w:szCs w:val="32"/>
          <w:highlight w:val="none"/>
        </w:rPr>
        <w:t>一是</w:t>
      </w:r>
      <w:r>
        <w:rPr>
          <w:rFonts w:hint="default" w:ascii="Times New Roman" w:hAnsi="Times New Roman" w:eastAsia="方正仿宋简体" w:cs="Times New Roman"/>
          <w:color w:val="auto"/>
          <w:sz w:val="32"/>
          <w:szCs w:val="32"/>
          <w:highlight w:val="none"/>
        </w:rPr>
        <w:t>财源培育成长不快不优，可用财力不足，“三保”</w:t>
      </w:r>
      <w:r>
        <w:rPr>
          <w:rFonts w:hint="default" w:ascii="Times New Roman" w:hAnsi="Times New Roman" w:eastAsia="方正仿宋简体" w:cs="Times New Roman"/>
          <w:color w:val="auto"/>
          <w:sz w:val="32"/>
          <w:szCs w:val="32"/>
          <w:highlight w:val="none"/>
          <w:lang w:val="en-US" w:eastAsia="zh-CN"/>
        </w:rPr>
        <w:t>及</w:t>
      </w:r>
      <w:r>
        <w:rPr>
          <w:rFonts w:hint="default" w:ascii="Times New Roman" w:hAnsi="Times New Roman" w:eastAsia="方正仿宋简体" w:cs="Times New Roman"/>
          <w:color w:val="auto"/>
          <w:sz w:val="32"/>
          <w:szCs w:val="32"/>
          <w:highlight w:val="none"/>
        </w:rPr>
        <w:t>刚性支出有增无减，收支平衡难度增大；</w:t>
      </w:r>
      <w:r>
        <w:rPr>
          <w:rFonts w:hint="default" w:ascii="Times New Roman" w:hAnsi="Times New Roman" w:eastAsia="方正仿宋简体" w:cs="Times New Roman"/>
          <w:b/>
          <w:bCs/>
          <w:color w:val="auto"/>
          <w:sz w:val="32"/>
          <w:szCs w:val="32"/>
          <w:highlight w:val="none"/>
        </w:rPr>
        <w:t>二是</w:t>
      </w:r>
      <w:r>
        <w:rPr>
          <w:rFonts w:hint="default" w:ascii="Times New Roman" w:hAnsi="Times New Roman" w:eastAsia="方正仿宋简体" w:cs="Times New Roman"/>
          <w:color w:val="auto"/>
          <w:sz w:val="32"/>
          <w:szCs w:val="32"/>
          <w:highlight w:val="none"/>
        </w:rPr>
        <w:t>一些部门重分配轻管理，财政资金使用绩效需要进一步提</w:t>
      </w:r>
      <w:r>
        <w:rPr>
          <w:rFonts w:hint="default" w:ascii="Times New Roman" w:hAnsi="Times New Roman" w:eastAsia="方正仿宋简体" w:cs="Times New Roman"/>
          <w:color w:val="auto"/>
          <w:sz w:val="32"/>
          <w:szCs w:val="32"/>
          <w:highlight w:val="none"/>
          <w:lang w:val="en-US" w:eastAsia="zh-CN"/>
        </w:rPr>
        <w:t>升</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b/>
          <w:bCs/>
          <w:color w:val="auto"/>
          <w:sz w:val="32"/>
          <w:szCs w:val="32"/>
          <w:highlight w:val="none"/>
        </w:rPr>
        <w:t>三是</w:t>
      </w:r>
      <w:r>
        <w:rPr>
          <w:rFonts w:hint="default" w:ascii="Times New Roman" w:hAnsi="Times New Roman" w:eastAsia="方正仿宋简体" w:cs="Times New Roman"/>
          <w:color w:val="auto"/>
          <w:sz w:val="32"/>
          <w:szCs w:val="32"/>
          <w:highlight w:val="none"/>
        </w:rPr>
        <w:t>政府性债务规模较大，政府债务负担过重，还本付息压力逐年增加，防范和化解债务风险的任务进一步加大；</w:t>
      </w:r>
      <w:r>
        <w:rPr>
          <w:rFonts w:hint="default" w:ascii="Times New Roman" w:hAnsi="Times New Roman" w:eastAsia="方正仿宋简体" w:cs="Times New Roman"/>
          <w:b/>
          <w:bCs/>
          <w:color w:val="auto"/>
          <w:sz w:val="32"/>
          <w:szCs w:val="32"/>
          <w:highlight w:val="none"/>
        </w:rPr>
        <w:t>四是</w:t>
      </w:r>
      <w:r>
        <w:rPr>
          <w:rFonts w:hint="default" w:ascii="Times New Roman" w:hAnsi="Times New Roman" w:eastAsia="方正仿宋简体" w:cs="Times New Roman"/>
          <w:color w:val="auto"/>
          <w:sz w:val="32"/>
          <w:szCs w:val="32"/>
          <w:highlight w:val="none"/>
        </w:rPr>
        <w:t>国资国企改革还需加快推进，国资国企需要进一步</w:t>
      </w:r>
      <w:r>
        <w:rPr>
          <w:rFonts w:hint="default" w:ascii="Times New Roman" w:hAnsi="Times New Roman" w:eastAsia="方正仿宋简体" w:cs="Times New Roman"/>
          <w:color w:val="auto"/>
          <w:sz w:val="32"/>
          <w:szCs w:val="32"/>
          <w:highlight w:val="none"/>
          <w:lang w:val="en-US" w:eastAsia="zh-CN"/>
        </w:rPr>
        <w:t>做大做强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以上问题</w:t>
      </w:r>
      <w:r>
        <w:rPr>
          <w:rFonts w:hint="default" w:ascii="Times New Roman" w:hAnsi="Times New Roman" w:eastAsia="方正仿宋简体" w:cs="Times New Roman"/>
          <w:color w:val="auto"/>
          <w:sz w:val="32"/>
          <w:szCs w:val="32"/>
          <w:highlight w:val="none"/>
        </w:rPr>
        <w:t>我们将高度重视，采取有力措施加以解决。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黑体" w:cs="Times New Roman"/>
          <w:color w:val="auto"/>
          <w:sz w:val="32"/>
          <w:szCs w:val="32"/>
          <w:highlight w:val="none"/>
        </w:rPr>
        <w:t>二、202</w:t>
      </w:r>
      <w:r>
        <w:rPr>
          <w:rFonts w:hint="default" w:ascii="Times New Roman" w:hAnsi="Times New Roman" w:eastAsia="黑体" w:cs="Times New Roman"/>
          <w:color w:val="auto"/>
          <w:sz w:val="32"/>
          <w:szCs w:val="32"/>
          <w:highlight w:val="none"/>
          <w:lang w:val="en-US" w:eastAsia="zh-CN"/>
        </w:rPr>
        <w:t>6</w:t>
      </w:r>
      <w:r>
        <w:rPr>
          <w:rFonts w:hint="default" w:ascii="Times New Roman" w:hAnsi="Times New Roman" w:eastAsia="黑体" w:cs="Times New Roman"/>
          <w:color w:val="auto"/>
          <w:sz w:val="32"/>
          <w:szCs w:val="32"/>
          <w:highlight w:val="none"/>
        </w:rPr>
        <w:t>年预算草案</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楷体简体" w:cs="Times New Roman"/>
          <w:b/>
          <w:bCs/>
          <w:color w:val="auto"/>
          <w:sz w:val="32"/>
          <w:szCs w:val="32"/>
          <w:highlight w:val="none"/>
        </w:rPr>
        <w:t>202</w:t>
      </w:r>
      <w:r>
        <w:rPr>
          <w:rFonts w:hint="default" w:ascii="Times New Roman" w:hAnsi="Times New Roman" w:eastAsia="方正楷体简体" w:cs="Times New Roman"/>
          <w:b/>
          <w:bCs/>
          <w:color w:val="auto"/>
          <w:sz w:val="32"/>
          <w:szCs w:val="32"/>
          <w:highlight w:val="none"/>
          <w:lang w:val="en-US" w:eastAsia="zh-CN"/>
        </w:rPr>
        <w:t>6</w:t>
      </w:r>
      <w:r>
        <w:rPr>
          <w:rFonts w:hint="default" w:ascii="Times New Roman" w:hAnsi="Times New Roman" w:eastAsia="方正楷体简体" w:cs="Times New Roman"/>
          <w:b/>
          <w:bCs/>
          <w:color w:val="auto"/>
          <w:sz w:val="32"/>
          <w:szCs w:val="32"/>
          <w:highlight w:val="none"/>
        </w:rPr>
        <w:t>年预算编制的指导思想:</w:t>
      </w:r>
      <w:r>
        <w:rPr>
          <w:rFonts w:hint="default" w:ascii="Times New Roman" w:hAnsi="Times New Roman" w:eastAsia="方正仿宋简体" w:cs="Times New Roman"/>
          <w:b/>
          <w:bCs/>
          <w:color w:val="auto"/>
          <w:sz w:val="32"/>
          <w:szCs w:val="32"/>
          <w:highlight w:val="none"/>
          <w:lang w:val="en-US" w:eastAsia="zh-CN"/>
        </w:rPr>
        <w:t>以习近平新时代中国特色社会主义思想为指导，深入学习贯彻党的二十大精神，全面贯彻落实中央经济工作会议、全国财政工作会议精神，坚持稳中求进工作总基调，完整、准确、全面贯彻新发展理念，加快构建新发展格局，着力推动高质量发展，坚持党政机关“过紧日子”要求，大力优化财政支出结构，兜牢基层“三保”底线，加强地方政府债务管理，严肃财经纪律，防范化解财政风险，提高财政资金绩效，为实现策勒经济社会高质量发展提供坚实的财政保障。</w:t>
      </w:r>
      <w:bookmarkStart w:id="1" w:name="OLE_LINK2"/>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b/>
          <w:bCs/>
          <w:color w:val="auto"/>
          <w:sz w:val="32"/>
          <w:szCs w:val="32"/>
          <w:highlight w:val="none"/>
        </w:rPr>
        <w:t>（一）一般公共预算</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年预计我县一般公共预算总收入</w:t>
      </w:r>
      <w:r>
        <w:rPr>
          <w:rFonts w:hint="default" w:ascii="Times New Roman" w:hAnsi="Times New Roman" w:eastAsia="方正仿宋简体" w:cs="Times New Roman"/>
          <w:color w:val="auto"/>
          <w:sz w:val="32"/>
          <w:szCs w:val="32"/>
          <w:highlight w:val="none"/>
          <w:lang w:val="en-US" w:eastAsia="zh-CN"/>
        </w:rPr>
        <w:t>310520</w:t>
      </w:r>
      <w:r>
        <w:rPr>
          <w:rFonts w:hint="default" w:ascii="Times New Roman" w:hAnsi="Times New Roman" w:eastAsia="方正仿宋简体" w:cs="Times New Roman"/>
          <w:color w:val="auto"/>
          <w:sz w:val="32"/>
          <w:szCs w:val="32"/>
          <w:highlight w:val="none"/>
        </w:rPr>
        <w:t>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bookmarkStart w:id="2" w:name="OLE_LINK1"/>
      <w:r>
        <w:rPr>
          <w:rFonts w:hint="default" w:ascii="Times New Roman" w:hAnsi="Times New Roman" w:eastAsia="方正仿宋简体" w:cs="Times New Roman"/>
          <w:color w:val="auto"/>
          <w:sz w:val="32"/>
          <w:szCs w:val="32"/>
          <w:highlight w:val="none"/>
        </w:rPr>
        <w:t>一般公共预算</w:t>
      </w:r>
      <w:r>
        <w:rPr>
          <w:rFonts w:hint="default" w:ascii="Times New Roman" w:hAnsi="Times New Roman" w:eastAsia="方正仿宋简体" w:cs="Times New Roman"/>
          <w:color w:val="auto"/>
          <w:sz w:val="32"/>
          <w:szCs w:val="32"/>
          <w:highlight w:val="none"/>
          <w:lang w:val="en-US" w:eastAsia="zh-CN"/>
        </w:rPr>
        <w:t>全口径</w:t>
      </w:r>
      <w:r>
        <w:rPr>
          <w:rFonts w:hint="default" w:ascii="Times New Roman" w:hAnsi="Times New Roman" w:eastAsia="方正仿宋简体" w:cs="Times New Roman"/>
          <w:color w:val="auto"/>
          <w:sz w:val="32"/>
          <w:szCs w:val="32"/>
          <w:highlight w:val="none"/>
        </w:rPr>
        <w:t>收入</w:t>
      </w:r>
      <w:r>
        <w:rPr>
          <w:rFonts w:hint="default" w:ascii="Times New Roman" w:hAnsi="Times New Roman" w:eastAsia="方正仿宋简体" w:cs="Times New Roman"/>
          <w:color w:val="auto"/>
          <w:sz w:val="32"/>
          <w:szCs w:val="32"/>
          <w:highlight w:val="none"/>
          <w:lang w:val="en-US" w:eastAsia="zh-CN"/>
        </w:rPr>
        <w:t>36673万元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其中：县级收入28076万元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全口径收入较2025年执行数32026万元，增收4647万元，增长14.5%。县级收入</w:t>
      </w:r>
      <w:r>
        <w:rPr>
          <w:rFonts w:hint="default" w:ascii="Times New Roman" w:hAnsi="Times New Roman" w:eastAsia="方正仿宋简体" w:cs="Times New Roman"/>
          <w:color w:val="auto"/>
          <w:sz w:val="32"/>
          <w:szCs w:val="32"/>
          <w:highlight w:val="none"/>
        </w:rPr>
        <w:t>较202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w:t>
      </w:r>
      <w:r>
        <w:rPr>
          <w:rFonts w:hint="default" w:ascii="Times New Roman" w:hAnsi="Times New Roman" w:eastAsia="方正仿宋简体" w:cs="Times New Roman"/>
          <w:color w:val="auto"/>
          <w:sz w:val="32"/>
          <w:szCs w:val="32"/>
          <w:highlight w:val="none"/>
          <w:lang w:val="en-US" w:eastAsia="zh-CN"/>
        </w:rPr>
        <w:t>执行数25068</w:t>
      </w:r>
      <w:r>
        <w:rPr>
          <w:rFonts w:hint="default" w:ascii="Times New Roman" w:hAnsi="Times New Roman" w:eastAsia="方正仿宋简体" w:cs="Times New Roman"/>
          <w:color w:val="auto"/>
          <w:sz w:val="32"/>
          <w:szCs w:val="32"/>
          <w:highlight w:val="none"/>
        </w:rPr>
        <w:t>万元增收</w:t>
      </w:r>
      <w:r>
        <w:rPr>
          <w:rFonts w:hint="default" w:ascii="Times New Roman" w:hAnsi="Times New Roman" w:eastAsia="方正仿宋简体" w:cs="Times New Roman"/>
          <w:color w:val="auto"/>
          <w:sz w:val="32"/>
          <w:szCs w:val="32"/>
          <w:highlight w:val="none"/>
          <w:lang w:val="en-US" w:eastAsia="zh-CN"/>
        </w:rPr>
        <w:t>3008</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12</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其中：</w:t>
      </w:r>
      <w:r>
        <w:rPr>
          <w:rFonts w:hint="default" w:ascii="Times New Roman" w:hAnsi="Times New Roman" w:eastAsia="方正仿宋简体" w:cs="Times New Roman"/>
          <w:color w:val="auto"/>
          <w:sz w:val="32"/>
          <w:szCs w:val="32"/>
          <w:highlight w:val="none"/>
        </w:rPr>
        <w:t>税收收入</w:t>
      </w:r>
      <w:r>
        <w:rPr>
          <w:rFonts w:hint="default" w:ascii="Times New Roman" w:hAnsi="Times New Roman" w:eastAsia="方正仿宋简体" w:cs="Times New Roman"/>
          <w:color w:val="auto"/>
          <w:sz w:val="32"/>
          <w:szCs w:val="32"/>
          <w:highlight w:val="none"/>
          <w:lang w:val="en-US" w:eastAsia="zh-CN"/>
        </w:rPr>
        <w:t>10954</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占比39%</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较</w:t>
      </w:r>
      <w:r>
        <w:rPr>
          <w:rFonts w:hint="default" w:ascii="Times New Roman" w:hAnsi="Times New Roman" w:eastAsia="方正仿宋简体" w:cs="Times New Roman"/>
          <w:color w:val="auto"/>
          <w:sz w:val="32"/>
          <w:szCs w:val="32"/>
          <w:highlight w:val="none"/>
          <w:lang w:val="en-US" w:eastAsia="zh-CN"/>
        </w:rPr>
        <w:t>上</w:t>
      </w:r>
      <w:r>
        <w:rPr>
          <w:rFonts w:hint="default" w:ascii="Times New Roman" w:hAnsi="Times New Roman" w:eastAsia="方正仿宋简体" w:cs="Times New Roman"/>
          <w:color w:val="auto"/>
          <w:sz w:val="32"/>
          <w:szCs w:val="32"/>
          <w:highlight w:val="none"/>
        </w:rPr>
        <w:t>年</w:t>
      </w:r>
      <w:r>
        <w:rPr>
          <w:rFonts w:hint="default" w:ascii="Times New Roman" w:hAnsi="Times New Roman" w:eastAsia="方正仿宋简体" w:cs="Times New Roman"/>
          <w:color w:val="auto"/>
          <w:sz w:val="32"/>
          <w:szCs w:val="32"/>
          <w:highlight w:val="none"/>
          <w:lang w:val="en-US" w:eastAsia="zh-CN"/>
        </w:rPr>
        <w:t>执行数9780</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12</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非税收入</w:t>
      </w:r>
      <w:r>
        <w:rPr>
          <w:rFonts w:hint="default" w:ascii="Times New Roman" w:hAnsi="Times New Roman" w:eastAsia="方正仿宋简体" w:cs="Times New Roman"/>
          <w:color w:val="auto"/>
          <w:sz w:val="32"/>
          <w:szCs w:val="32"/>
          <w:highlight w:val="none"/>
          <w:lang w:val="en-US" w:eastAsia="zh-CN"/>
        </w:rPr>
        <w:t>17122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占比61%</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较</w:t>
      </w:r>
      <w:r>
        <w:rPr>
          <w:rFonts w:hint="default" w:ascii="Times New Roman" w:hAnsi="Times New Roman" w:eastAsia="方正仿宋简体" w:cs="Times New Roman"/>
          <w:color w:val="auto"/>
          <w:sz w:val="32"/>
          <w:szCs w:val="32"/>
          <w:highlight w:val="none"/>
          <w:lang w:val="en-US" w:eastAsia="zh-CN"/>
        </w:rPr>
        <w:t>上</w:t>
      </w:r>
      <w:r>
        <w:rPr>
          <w:rFonts w:hint="default" w:ascii="Times New Roman" w:hAnsi="Times New Roman" w:eastAsia="方正仿宋简体" w:cs="Times New Roman"/>
          <w:color w:val="auto"/>
          <w:sz w:val="32"/>
          <w:szCs w:val="32"/>
          <w:highlight w:val="none"/>
        </w:rPr>
        <w:t>年</w:t>
      </w:r>
      <w:r>
        <w:rPr>
          <w:rFonts w:hint="default" w:ascii="Times New Roman" w:hAnsi="Times New Roman" w:eastAsia="方正仿宋简体" w:cs="Times New Roman"/>
          <w:color w:val="auto"/>
          <w:sz w:val="32"/>
          <w:szCs w:val="32"/>
          <w:highlight w:val="none"/>
          <w:lang w:val="en-US" w:eastAsia="zh-CN"/>
        </w:rPr>
        <w:t>执行数15288</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12</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eastAsia="zh-CN"/>
        </w:rPr>
        <w:t>）。</w:t>
      </w:r>
    </w:p>
    <w:bookmarkEnd w:id="2"/>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当年上级告知数</w:t>
      </w:r>
      <w:r>
        <w:rPr>
          <w:rFonts w:hint="default" w:ascii="Times New Roman" w:hAnsi="Times New Roman" w:eastAsia="方正仿宋简体" w:cs="Times New Roman"/>
          <w:color w:val="auto"/>
          <w:sz w:val="32"/>
          <w:szCs w:val="32"/>
          <w:highlight w:val="none"/>
          <w:lang w:val="en-US" w:eastAsia="zh-CN"/>
        </w:rPr>
        <w:t>242751</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从国有资本经营预算调入资金</w:t>
      </w:r>
      <w:r>
        <w:rPr>
          <w:rFonts w:hint="default" w:ascii="Times New Roman" w:hAnsi="Times New Roman" w:eastAsia="方正仿宋简体" w:cs="Times New Roman"/>
          <w:color w:val="auto"/>
          <w:sz w:val="32"/>
          <w:szCs w:val="32"/>
          <w:highlight w:val="none"/>
          <w:lang w:val="en-US" w:eastAsia="zh-CN"/>
        </w:rPr>
        <w:t>43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动用稳定调节基金2281万元。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上年结余</w:t>
      </w:r>
      <w:r>
        <w:rPr>
          <w:rFonts w:hint="default" w:ascii="Times New Roman" w:hAnsi="Times New Roman" w:eastAsia="方正仿宋简体" w:cs="Times New Roman"/>
          <w:color w:val="auto"/>
          <w:sz w:val="32"/>
          <w:szCs w:val="32"/>
          <w:highlight w:val="none"/>
          <w:lang w:val="en-US" w:eastAsia="zh-CN"/>
        </w:rPr>
        <w:t>37369</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年安排预算支出</w:t>
      </w:r>
      <w:r>
        <w:rPr>
          <w:rFonts w:hint="default" w:ascii="Times New Roman" w:hAnsi="Times New Roman" w:eastAsia="方正仿宋简体" w:cs="Times New Roman"/>
          <w:color w:val="auto"/>
          <w:sz w:val="32"/>
          <w:szCs w:val="32"/>
          <w:highlight w:val="none"/>
          <w:lang w:val="en-US" w:eastAsia="zh-CN"/>
        </w:rPr>
        <w:t>310520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其中：一般公共预算支出</w:t>
      </w:r>
      <w:r>
        <w:rPr>
          <w:rFonts w:hint="default" w:ascii="Times New Roman" w:hAnsi="Times New Roman" w:eastAsia="方正仿宋简体" w:cs="Times New Roman"/>
          <w:color w:val="auto"/>
          <w:sz w:val="32"/>
          <w:szCs w:val="32"/>
          <w:highlight w:val="none"/>
          <w:lang w:val="en-US" w:eastAsia="zh-CN"/>
        </w:rPr>
        <w:t>309784</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较上年执行345294万元下降10.3%，原因是年初预算按照上级告知数预计，目前到位告知数有限，待后期上级专项资金到位后根据实际支出数再进行调整预算</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上解上级支出383万元。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地方政府一般债券还本支出353万元。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收支相抵结余为0。</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kern w:val="2"/>
          <w:sz w:val="32"/>
          <w:szCs w:val="32"/>
          <w:highlight w:val="none"/>
          <w:lang w:val="en-US" w:eastAsia="zh-CN" w:bidi="ar-SA"/>
        </w:rPr>
        <w:t>（二）</w:t>
      </w:r>
      <w:r>
        <w:rPr>
          <w:rFonts w:hint="default" w:ascii="Times New Roman" w:hAnsi="Times New Roman" w:eastAsia="方正仿宋简体" w:cs="Times New Roman"/>
          <w:b/>
          <w:bCs/>
          <w:color w:val="auto"/>
          <w:sz w:val="32"/>
          <w:szCs w:val="32"/>
          <w:highlight w:val="none"/>
        </w:rPr>
        <w:t>政府性基金预算</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年预计我县政府性基金总收入</w:t>
      </w:r>
      <w:r>
        <w:rPr>
          <w:rFonts w:hint="default" w:ascii="Times New Roman" w:hAnsi="Times New Roman" w:eastAsia="方正仿宋简体" w:cs="Times New Roman"/>
          <w:color w:val="auto"/>
          <w:sz w:val="32"/>
          <w:szCs w:val="32"/>
          <w:highlight w:val="none"/>
          <w:lang w:val="en-US" w:eastAsia="zh-CN"/>
        </w:rPr>
        <w:t>103646</w:t>
      </w:r>
      <w:r>
        <w:rPr>
          <w:rFonts w:hint="default" w:ascii="Times New Roman" w:hAnsi="Times New Roman" w:eastAsia="方正仿宋简体" w:cs="Times New Roman"/>
          <w:color w:val="auto"/>
          <w:sz w:val="32"/>
          <w:szCs w:val="32"/>
          <w:highlight w:val="none"/>
        </w:rPr>
        <w:t>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rPr>
        <w:t>其中：本级政府性基金预算收入</w:t>
      </w:r>
      <w:r>
        <w:rPr>
          <w:rFonts w:hint="default" w:ascii="Times New Roman" w:hAnsi="Times New Roman" w:eastAsia="方正仿宋简体" w:cs="Times New Roman"/>
          <w:color w:val="auto"/>
          <w:sz w:val="32"/>
          <w:szCs w:val="32"/>
          <w:highlight w:val="none"/>
          <w:lang w:val="en-US" w:eastAsia="zh-CN"/>
        </w:rPr>
        <w:t>12771</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。具体为：国有土地使用权出让收入2644万元，比去年执行增长10%；城市基础设施配套费收入354万元，比去年执行增长10%；污水处理费收入584万元，比去年执行增长9.07%；专项债券收益对应的专项收入9189万元。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转移性专项基金补助</w:t>
      </w:r>
      <w:r>
        <w:rPr>
          <w:rFonts w:hint="default" w:ascii="Times New Roman" w:hAnsi="Times New Roman" w:eastAsia="方正仿宋简体" w:cs="Times New Roman"/>
          <w:color w:val="auto"/>
          <w:sz w:val="32"/>
          <w:szCs w:val="32"/>
          <w:highlight w:val="none"/>
          <w:lang w:val="en-US" w:eastAsia="zh-CN"/>
        </w:rPr>
        <w:t>告知数742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上年结余收入</w:t>
      </w:r>
      <w:r>
        <w:rPr>
          <w:rFonts w:hint="default" w:ascii="Times New Roman" w:hAnsi="Times New Roman" w:eastAsia="方正仿宋简体" w:cs="Times New Roman"/>
          <w:color w:val="auto"/>
          <w:sz w:val="32"/>
          <w:szCs w:val="32"/>
          <w:highlight w:val="none"/>
          <w:lang w:val="en-US" w:eastAsia="zh-CN"/>
        </w:rPr>
        <w:t>90133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年预计我县政府性基金支出总计</w:t>
      </w:r>
      <w:r>
        <w:rPr>
          <w:rFonts w:hint="default" w:ascii="Times New Roman" w:hAnsi="Times New Roman" w:eastAsia="方正仿宋简体" w:cs="Times New Roman"/>
          <w:color w:val="auto"/>
          <w:sz w:val="32"/>
          <w:szCs w:val="32"/>
          <w:highlight w:val="none"/>
          <w:lang w:val="en-US" w:eastAsia="zh-CN"/>
        </w:rPr>
        <w:t>103646</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其中：超长期国债资金支出19866万元（结转项目资金），专项债付息支出9189万元，专项债券项目发行费支出100万元，专项债券项目支出69933万元（结转项目资金），污水处理设施建设和运营支出600万元，城市配套费对应支出450万元，彩票公益金支出764万元（结转334万元，当年下达430万元），地方旅游开发项目300万元（地区下达专项），移民补助12万元（地区下达专项），其他2432万元为本级土地出让收入对应的支出</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收支相抵结余为0。</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b/>
          <w:bCs/>
          <w:color w:val="auto"/>
          <w:sz w:val="32"/>
          <w:szCs w:val="32"/>
          <w:highlight w:val="none"/>
        </w:rPr>
      </w:pP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lang w:val="en-US" w:eastAsia="zh-CN"/>
        </w:rPr>
        <w:t>三）</w:t>
      </w:r>
      <w:r>
        <w:rPr>
          <w:rFonts w:hint="default" w:ascii="Times New Roman" w:hAnsi="Times New Roman" w:eastAsia="方正仿宋简体" w:cs="Times New Roman"/>
          <w:b/>
          <w:bCs/>
          <w:color w:val="auto"/>
          <w:sz w:val="32"/>
          <w:szCs w:val="32"/>
          <w:highlight w:val="none"/>
        </w:rPr>
        <w:t>国有资本经营预算</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年预计国有资本经营预算总收入</w:t>
      </w:r>
      <w:r>
        <w:rPr>
          <w:rFonts w:hint="default" w:ascii="Times New Roman" w:hAnsi="Times New Roman" w:eastAsia="方正仿宋简体" w:cs="Times New Roman"/>
          <w:color w:val="auto"/>
          <w:sz w:val="32"/>
          <w:szCs w:val="32"/>
          <w:highlight w:val="none"/>
          <w:lang w:val="en-US" w:eastAsia="zh-CN"/>
        </w:rPr>
        <w:t>143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比去年执行增长21%。</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其中：本级国有资本经营预算收入</w:t>
      </w:r>
      <w:r>
        <w:rPr>
          <w:rFonts w:hint="default" w:ascii="Times New Roman" w:hAnsi="Times New Roman" w:eastAsia="方正仿宋简体" w:cs="Times New Roman"/>
          <w:color w:val="auto"/>
          <w:sz w:val="32"/>
          <w:szCs w:val="32"/>
          <w:highlight w:val="none"/>
          <w:lang w:val="en-US" w:eastAsia="zh-CN"/>
        </w:rPr>
        <w:t>84</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比去年执行增长58%</w:t>
      </w:r>
      <w:r>
        <w:rPr>
          <w:rFonts w:hint="default" w:ascii="Times New Roman" w:hAnsi="Times New Roman" w:eastAsia="方正仿宋简体" w:cs="Times New Roman"/>
          <w:color w:val="auto"/>
          <w:sz w:val="32"/>
          <w:szCs w:val="32"/>
          <w:highlight w:val="none"/>
        </w:rPr>
        <w:t>，当年国有资本经营</w:t>
      </w:r>
      <w:r>
        <w:rPr>
          <w:rFonts w:hint="default" w:ascii="Times New Roman" w:hAnsi="Times New Roman" w:eastAsia="方正仿宋简体" w:cs="Times New Roman"/>
          <w:color w:val="auto"/>
          <w:sz w:val="32"/>
          <w:szCs w:val="32"/>
          <w:highlight w:val="none"/>
          <w:lang w:val="en-US" w:eastAsia="zh-CN"/>
        </w:rPr>
        <w:t>上级</w:t>
      </w:r>
      <w:r>
        <w:rPr>
          <w:rFonts w:hint="default" w:ascii="Times New Roman" w:hAnsi="Times New Roman" w:eastAsia="方正仿宋简体" w:cs="Times New Roman"/>
          <w:color w:val="auto"/>
          <w:sz w:val="32"/>
          <w:szCs w:val="32"/>
          <w:highlight w:val="none"/>
        </w:rPr>
        <w:t>补助</w:t>
      </w:r>
      <w:r>
        <w:rPr>
          <w:rFonts w:hint="default" w:ascii="Times New Roman" w:hAnsi="Times New Roman" w:eastAsia="方正仿宋简体" w:cs="Times New Roman"/>
          <w:color w:val="auto"/>
          <w:sz w:val="32"/>
          <w:szCs w:val="32"/>
          <w:highlight w:val="none"/>
          <w:lang w:val="en-US" w:eastAsia="zh-CN"/>
        </w:rPr>
        <w:t>收入</w:t>
      </w:r>
      <w:r>
        <w:rPr>
          <w:rFonts w:hint="default" w:ascii="Times New Roman" w:hAnsi="Times New Roman" w:eastAsia="方正仿宋简体" w:cs="Times New Roman"/>
          <w:color w:val="auto"/>
          <w:sz w:val="32"/>
          <w:szCs w:val="32"/>
          <w:highlight w:val="none"/>
        </w:rPr>
        <w:t>1万元，上年结余</w:t>
      </w:r>
      <w:r>
        <w:rPr>
          <w:rFonts w:hint="default" w:ascii="Times New Roman" w:hAnsi="Times New Roman" w:eastAsia="方正仿宋简体" w:cs="Times New Roman"/>
          <w:color w:val="auto"/>
          <w:sz w:val="32"/>
          <w:szCs w:val="32"/>
          <w:highlight w:val="none"/>
          <w:lang w:val="en-US" w:eastAsia="zh-CN"/>
        </w:rPr>
        <w:t>58</w:t>
      </w:r>
      <w:r>
        <w:rPr>
          <w:rFonts w:hint="default" w:ascii="Times New Roman" w:hAnsi="Times New Roman" w:eastAsia="方正仿宋简体" w:cs="Times New Roman"/>
          <w:color w:val="auto"/>
          <w:sz w:val="32"/>
          <w:szCs w:val="32"/>
          <w:highlight w:val="none"/>
        </w:rPr>
        <w:t>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年国有资本经营预算总支出</w:t>
      </w:r>
      <w:r>
        <w:rPr>
          <w:rFonts w:hint="default" w:ascii="Times New Roman" w:hAnsi="Times New Roman" w:eastAsia="方正仿宋简体" w:cs="Times New Roman"/>
          <w:color w:val="auto"/>
          <w:sz w:val="32"/>
          <w:szCs w:val="32"/>
          <w:highlight w:val="none"/>
          <w:lang w:val="en-US" w:eastAsia="zh-CN"/>
        </w:rPr>
        <w:t>143</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val="en-US" w:eastAsia="zh-CN"/>
        </w:rPr>
        <w:t>。比去年执行增长21%。</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国有企业资本金注入</w:t>
      </w:r>
      <w:r>
        <w:rPr>
          <w:rFonts w:hint="default" w:ascii="Times New Roman" w:hAnsi="Times New Roman" w:eastAsia="方正仿宋简体" w:cs="Times New Roman"/>
          <w:color w:val="auto"/>
          <w:sz w:val="32"/>
          <w:szCs w:val="32"/>
          <w:highlight w:val="none"/>
          <w:lang w:val="en-US" w:eastAsia="zh-CN"/>
        </w:rPr>
        <w:t>99万元，比去年执行增长395%。</w:t>
      </w:r>
      <w:r>
        <w:rPr>
          <w:rFonts w:hint="default" w:ascii="Times New Roman" w:hAnsi="Times New Roman" w:eastAsia="方正仿宋简体" w:cs="Times New Roman"/>
          <w:color w:val="auto"/>
          <w:sz w:val="32"/>
          <w:szCs w:val="32"/>
          <w:highlight w:val="none"/>
          <w:lang w:eastAsia="zh-CN"/>
        </w:rPr>
        <w:t>解决历史遗留问题及改革成本支出</w:t>
      </w:r>
      <w:r>
        <w:rPr>
          <w:rFonts w:hint="default" w:ascii="Times New Roman" w:hAnsi="Times New Roman" w:eastAsia="方正仿宋简体" w:cs="Times New Roman"/>
          <w:color w:val="auto"/>
          <w:sz w:val="32"/>
          <w:szCs w:val="32"/>
          <w:highlight w:val="none"/>
          <w:lang w:val="en-US" w:eastAsia="zh-CN"/>
        </w:rPr>
        <w:t>1万元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国有资本经营预算调出资金</w:t>
      </w:r>
      <w:r>
        <w:rPr>
          <w:rFonts w:hint="default" w:ascii="Times New Roman" w:hAnsi="Times New Roman" w:eastAsia="方正仿宋简体" w:cs="Times New Roman"/>
          <w:color w:val="auto"/>
          <w:sz w:val="32"/>
          <w:szCs w:val="32"/>
          <w:highlight w:val="none"/>
          <w:lang w:val="en-US" w:eastAsia="zh-CN"/>
        </w:rPr>
        <w:t>43</w:t>
      </w:r>
      <w:r>
        <w:rPr>
          <w:rFonts w:hint="default" w:ascii="Times New Roman" w:hAnsi="Times New Roman" w:eastAsia="方正仿宋简体" w:cs="Times New Roman"/>
          <w:color w:val="auto"/>
          <w:sz w:val="32"/>
          <w:szCs w:val="32"/>
          <w:highlight w:val="none"/>
        </w:rPr>
        <w:t>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收支相抵结余0万元。</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left="0" w:leftChars="0" w:firstLine="640" w:firstLineChars="200"/>
        <w:textAlignment w:val="top"/>
        <w:rPr>
          <w:rFonts w:hint="default" w:ascii="Times New Roman" w:hAnsi="Times New Roman" w:eastAsia="方正仿宋简体" w:cs="Times New Roman"/>
          <w:b/>
          <w:bCs/>
          <w:color w:val="auto"/>
          <w:sz w:val="32"/>
          <w:szCs w:val="32"/>
          <w:highlight w:val="none"/>
          <w:lang w:val="en-US" w:eastAsia="zh-CN"/>
        </w:rPr>
      </w:pPr>
      <w:r>
        <w:rPr>
          <w:rFonts w:hint="default" w:ascii="Times New Roman" w:hAnsi="Times New Roman" w:eastAsia="方正仿宋简体" w:cs="Times New Roman"/>
          <w:b/>
          <w:bCs/>
          <w:color w:val="auto"/>
          <w:kern w:val="2"/>
          <w:sz w:val="32"/>
          <w:szCs w:val="32"/>
          <w:highlight w:val="none"/>
          <w:lang w:val="en-US" w:eastAsia="zh-CN" w:bidi="ar-SA"/>
        </w:rPr>
        <w:t>（四）</w:t>
      </w:r>
      <w:r>
        <w:rPr>
          <w:rFonts w:hint="default" w:ascii="Times New Roman" w:hAnsi="Times New Roman" w:eastAsia="方正仿宋简体" w:cs="Times New Roman"/>
          <w:b/>
          <w:bCs/>
          <w:color w:val="auto"/>
          <w:sz w:val="32"/>
          <w:szCs w:val="32"/>
          <w:highlight w:val="none"/>
          <w:lang w:val="en-US" w:eastAsia="zh-CN"/>
        </w:rPr>
        <w:t>社会保险基金预算</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bookmarkStart w:id="3" w:name="OLE_LINK4"/>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年预计社会保险基金预算总收入680</w:t>
      </w:r>
      <w:r>
        <w:rPr>
          <w:rFonts w:hint="default" w:ascii="Times New Roman" w:hAnsi="Times New Roman" w:eastAsia="方正仿宋简体" w:cs="Times New Roman"/>
          <w:color w:val="auto"/>
          <w:sz w:val="32"/>
          <w:szCs w:val="32"/>
          <w:highlight w:val="none"/>
          <w:lang w:val="en-US" w:eastAsia="zh-CN"/>
        </w:rPr>
        <w:t>2</w:t>
      </w:r>
      <w:r>
        <w:rPr>
          <w:rFonts w:hint="default" w:ascii="Times New Roman" w:hAnsi="Times New Roman" w:eastAsia="方正仿宋简体" w:cs="Times New Roman"/>
          <w:color w:val="auto"/>
          <w:sz w:val="32"/>
          <w:szCs w:val="32"/>
          <w:highlight w:val="none"/>
        </w:rPr>
        <w:t>万元，比上年</w:t>
      </w:r>
      <w:r>
        <w:rPr>
          <w:rFonts w:hint="default" w:ascii="Times New Roman" w:hAnsi="Times New Roman" w:eastAsia="方正仿宋简体" w:cs="Times New Roman"/>
          <w:color w:val="auto"/>
          <w:sz w:val="32"/>
          <w:szCs w:val="32"/>
          <w:highlight w:val="none"/>
          <w:lang w:val="en-US" w:eastAsia="zh-CN"/>
        </w:rPr>
        <w:t>5652</w:t>
      </w:r>
      <w:r>
        <w:rPr>
          <w:rFonts w:hint="default" w:ascii="Times New Roman" w:hAnsi="Times New Roman" w:eastAsia="方正仿宋简体" w:cs="Times New Roman"/>
          <w:color w:val="auto"/>
          <w:sz w:val="32"/>
          <w:szCs w:val="32"/>
          <w:highlight w:val="none"/>
        </w:rPr>
        <w:t>万元增加</w:t>
      </w:r>
      <w:r>
        <w:rPr>
          <w:rFonts w:hint="default" w:ascii="Times New Roman" w:hAnsi="Times New Roman" w:eastAsia="方正仿宋简体" w:cs="Times New Roman"/>
          <w:color w:val="auto"/>
          <w:sz w:val="32"/>
          <w:szCs w:val="32"/>
          <w:highlight w:val="none"/>
          <w:lang w:val="en-US" w:eastAsia="zh-CN"/>
        </w:rPr>
        <w:t>1150</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20.35</w:t>
      </w:r>
      <w:r>
        <w:rPr>
          <w:rFonts w:hint="default" w:ascii="Times New Roman" w:hAnsi="Times New Roman" w:eastAsia="方正仿宋简体" w:cs="Times New Roman"/>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主要原因是</w:t>
      </w:r>
      <w:r>
        <w:rPr>
          <w:rFonts w:hint="default" w:ascii="Times New Roman" w:hAnsi="Times New Roman" w:eastAsia="方正仿宋简体" w:cs="Times New Roman"/>
          <w:color w:val="auto"/>
          <w:sz w:val="32"/>
          <w:szCs w:val="32"/>
          <w:highlight w:val="none"/>
        </w:rPr>
        <w:t>基础养老金补贴标准</w:t>
      </w:r>
      <w:r>
        <w:rPr>
          <w:rFonts w:hint="default" w:ascii="Times New Roman" w:hAnsi="Times New Roman" w:eastAsia="方正仿宋简体" w:cs="Times New Roman"/>
          <w:color w:val="auto"/>
          <w:sz w:val="32"/>
          <w:szCs w:val="32"/>
          <w:highlight w:val="none"/>
          <w:lang w:val="en-US" w:eastAsia="zh-CN"/>
        </w:rPr>
        <w:t>提高</w:t>
      </w: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rPr>
        <w:t>年7月</w:t>
      </w:r>
      <w:r>
        <w:rPr>
          <w:rFonts w:hint="default" w:ascii="Times New Roman" w:hAnsi="Times New Roman" w:eastAsia="方正仿宋简体" w:cs="Times New Roman"/>
          <w:color w:val="auto"/>
          <w:sz w:val="32"/>
          <w:szCs w:val="32"/>
          <w:highlight w:val="none"/>
          <w:lang w:val="en-US" w:eastAsia="zh-CN"/>
        </w:rPr>
        <w:t>开始，</w:t>
      </w:r>
      <w:r>
        <w:rPr>
          <w:rFonts w:hint="default" w:ascii="Times New Roman" w:hAnsi="Times New Roman" w:eastAsia="方正仿宋简体" w:cs="Times New Roman"/>
          <w:color w:val="auto"/>
          <w:sz w:val="32"/>
          <w:szCs w:val="32"/>
          <w:highlight w:val="none"/>
        </w:rPr>
        <w:t>中央财政对城乡基础养老金每人每月提高20元）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高档次缴费人数及个人缴费收入增加</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202</w:t>
      </w:r>
      <w:r>
        <w:rPr>
          <w:rFonts w:hint="default" w:ascii="Times New Roman" w:hAnsi="Times New Roman" w:eastAsia="方正仿宋简体" w:cs="Times New Roman"/>
          <w:color w:val="auto"/>
          <w:sz w:val="32"/>
          <w:szCs w:val="32"/>
          <w:highlight w:val="none"/>
          <w:lang w:val="en-US" w:eastAsia="zh-CN"/>
        </w:rPr>
        <w:t>6</w:t>
      </w:r>
      <w:r>
        <w:rPr>
          <w:rFonts w:hint="default" w:ascii="Times New Roman" w:hAnsi="Times New Roman" w:eastAsia="方正仿宋简体" w:cs="Times New Roman"/>
          <w:color w:val="auto"/>
          <w:sz w:val="32"/>
          <w:szCs w:val="32"/>
          <w:highlight w:val="none"/>
        </w:rPr>
        <w:t>年预计社会保险基金预算总支出4573万元，比上年</w:t>
      </w:r>
      <w:r>
        <w:rPr>
          <w:rFonts w:hint="default" w:ascii="Times New Roman" w:hAnsi="Times New Roman" w:eastAsia="方正仿宋简体" w:cs="Times New Roman"/>
          <w:color w:val="auto"/>
          <w:sz w:val="32"/>
          <w:szCs w:val="32"/>
          <w:highlight w:val="none"/>
          <w:lang w:val="en-US" w:eastAsia="zh-CN"/>
        </w:rPr>
        <w:t>3995</w:t>
      </w:r>
      <w:r>
        <w:rPr>
          <w:rFonts w:hint="default" w:ascii="Times New Roman" w:hAnsi="Times New Roman" w:eastAsia="方正仿宋简体" w:cs="Times New Roman"/>
          <w:color w:val="auto"/>
          <w:sz w:val="32"/>
          <w:szCs w:val="32"/>
          <w:highlight w:val="none"/>
        </w:rPr>
        <w:t>万元增加</w:t>
      </w:r>
      <w:r>
        <w:rPr>
          <w:rFonts w:hint="default" w:ascii="Times New Roman" w:hAnsi="Times New Roman" w:eastAsia="方正仿宋简体" w:cs="Times New Roman"/>
          <w:color w:val="auto"/>
          <w:sz w:val="32"/>
          <w:szCs w:val="32"/>
          <w:highlight w:val="none"/>
          <w:lang w:val="en-US" w:eastAsia="zh-CN"/>
        </w:rPr>
        <w:t>578</w:t>
      </w:r>
      <w:r>
        <w:rPr>
          <w:rFonts w:hint="default" w:ascii="Times New Roman" w:hAnsi="Times New Roman" w:eastAsia="方正仿宋简体" w:cs="Times New Roman"/>
          <w:color w:val="auto"/>
          <w:sz w:val="32"/>
          <w:szCs w:val="32"/>
          <w:highlight w:val="none"/>
        </w:rPr>
        <w:t>万元，增长</w:t>
      </w:r>
      <w:r>
        <w:rPr>
          <w:rFonts w:hint="default" w:ascii="Times New Roman" w:hAnsi="Times New Roman" w:eastAsia="方正仿宋简体" w:cs="Times New Roman"/>
          <w:color w:val="auto"/>
          <w:sz w:val="32"/>
          <w:szCs w:val="32"/>
          <w:highlight w:val="none"/>
          <w:lang w:val="en-US" w:eastAsia="zh-CN"/>
        </w:rPr>
        <w:t>14.47</w:t>
      </w:r>
      <w:r>
        <w:rPr>
          <w:rFonts w:hint="default" w:ascii="Times New Roman" w:hAnsi="Times New Roman" w:eastAsia="方正仿宋简体" w:cs="Times New Roman"/>
          <w:color w:val="auto"/>
          <w:sz w:val="32"/>
          <w:szCs w:val="32"/>
          <w:highlight w:val="none"/>
        </w:rPr>
        <w:t>%。主要是财政提高基础养老金的补贴标准。</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rPr>
      </w:pPr>
      <w:r>
        <w:rPr>
          <w:rFonts w:hint="default" w:ascii="Times New Roman" w:hAnsi="Times New Roman" w:eastAsia="方正仿宋简体" w:cs="Times New Roman"/>
          <w:color w:val="auto"/>
          <w:sz w:val="32"/>
          <w:szCs w:val="32"/>
          <w:highlight w:val="none"/>
        </w:rPr>
        <w:t>收支相抵</w:t>
      </w:r>
      <w:r>
        <w:rPr>
          <w:rFonts w:hint="default" w:ascii="Times New Roman" w:hAnsi="Times New Roman" w:eastAsia="方正仿宋简体" w:cs="Times New Roman"/>
          <w:color w:val="auto"/>
          <w:sz w:val="32"/>
          <w:szCs w:val="32"/>
          <w:highlight w:val="none"/>
          <w:lang w:val="en-US" w:eastAsia="zh-CN"/>
        </w:rPr>
        <w:t>当年</w:t>
      </w:r>
      <w:r>
        <w:rPr>
          <w:rFonts w:hint="default" w:ascii="Times New Roman" w:hAnsi="Times New Roman" w:eastAsia="方正仿宋简体" w:cs="Times New Roman"/>
          <w:color w:val="auto"/>
          <w:sz w:val="32"/>
          <w:szCs w:val="32"/>
          <w:highlight w:val="none"/>
        </w:rPr>
        <w:t>结余</w:t>
      </w:r>
      <w:r>
        <w:rPr>
          <w:rFonts w:hint="default" w:ascii="Times New Roman" w:hAnsi="Times New Roman" w:eastAsia="方正仿宋简体" w:cs="Times New Roman"/>
          <w:color w:val="auto"/>
          <w:sz w:val="32"/>
          <w:szCs w:val="32"/>
          <w:highlight w:val="none"/>
          <w:lang w:val="en-US" w:eastAsia="zh-CN"/>
        </w:rPr>
        <w:t>2229</w:t>
      </w:r>
      <w:r>
        <w:rPr>
          <w:rFonts w:hint="default" w:ascii="Times New Roman" w:hAnsi="Times New Roman" w:eastAsia="方正仿宋简体" w:cs="Times New Roman"/>
          <w:color w:val="auto"/>
          <w:sz w:val="32"/>
          <w:szCs w:val="32"/>
          <w:highlight w:val="none"/>
        </w:rPr>
        <w:t>万元。</w:t>
      </w:r>
    </w:p>
    <w:bookmarkEnd w:id="1"/>
    <w:bookmarkEnd w:id="3"/>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0" w:firstLineChars="200"/>
        <w:textAlignment w:val="top"/>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rPr>
        <w:t>三、202</w:t>
      </w:r>
      <w:r>
        <w:rPr>
          <w:rFonts w:hint="default" w:ascii="Times New Roman" w:hAnsi="Times New Roman" w:eastAsia="黑体" w:cs="Times New Roman"/>
          <w:color w:val="auto"/>
          <w:sz w:val="32"/>
          <w:szCs w:val="32"/>
          <w:highlight w:val="none"/>
          <w:lang w:val="en-US" w:eastAsia="zh-CN"/>
        </w:rPr>
        <w:t>6</w:t>
      </w:r>
      <w:r>
        <w:rPr>
          <w:rFonts w:hint="default" w:ascii="Times New Roman" w:hAnsi="Times New Roman" w:eastAsia="黑体" w:cs="Times New Roman"/>
          <w:color w:val="auto"/>
          <w:sz w:val="32"/>
          <w:szCs w:val="32"/>
          <w:highlight w:val="none"/>
        </w:rPr>
        <w:t>年财政工作措施</w:t>
      </w:r>
      <w:r>
        <w:rPr>
          <w:rFonts w:hint="default" w:ascii="Times New Roman" w:hAnsi="Times New Roman" w:eastAsia="黑体" w:cs="Times New Roman"/>
          <w:color w:val="auto"/>
          <w:sz w:val="32"/>
          <w:szCs w:val="32"/>
          <w:highlight w:val="none"/>
          <w:lang w:val="en-US" w:eastAsia="zh-CN"/>
        </w:rPr>
        <w:t xml:space="preserve"> </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0" w:firstLineChars="200"/>
        <w:textAlignment w:val="top"/>
        <w:rPr>
          <w:rFonts w:hint="default" w:ascii="Times New Roman" w:hAnsi="Times New Roman" w:eastAsia="方正仿宋简体" w:cs="Times New Roman"/>
          <w:color w:val="auto"/>
          <w:sz w:val="32"/>
          <w:highlight w:val="none"/>
          <w:lang w:val="en-US" w:eastAsia="zh-CN"/>
        </w:rPr>
      </w:pP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lang w:val="en-US" w:eastAsia="zh-CN"/>
        </w:rPr>
        <w:t>一</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b/>
          <w:bCs/>
          <w:color w:val="auto"/>
          <w:sz w:val="32"/>
          <w:szCs w:val="32"/>
          <w:highlight w:val="none"/>
        </w:rPr>
        <w:t>努力增收节支，确保财政平稳运行。</w:t>
      </w:r>
      <w:r>
        <w:rPr>
          <w:rFonts w:hint="default" w:ascii="Times New Roman" w:hAnsi="Times New Roman" w:eastAsia="方正仿宋简体" w:cs="Times New Roman"/>
          <w:color w:val="auto"/>
          <w:sz w:val="32"/>
          <w:szCs w:val="32"/>
          <w:highlight w:val="none"/>
        </w:rPr>
        <w:t>加强财政、税务、非税征管执收部门统筹协调，抓实抓细组织收入工作，依法依规加强征管，深挖增收潜力。积极向上争取资金，强化债券项目管理，发挥债券资金成效，带动扩大有效投资。强化支出管理，建立健全厉行节约长效机制</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落实过紧日子要求</w:t>
      </w:r>
      <w:r>
        <w:rPr>
          <w:rFonts w:hint="default" w:ascii="Times New Roman" w:hAnsi="Times New Roman" w:eastAsia="方正仿宋简体" w:cs="Times New Roman"/>
          <w:color w:val="auto"/>
          <w:sz w:val="32"/>
          <w:szCs w:val="32"/>
          <w:highlight w:val="none"/>
        </w:rPr>
        <w:t>，严控一般性支出和“三公”经费只减不增，从严控制非刚性、非重点、非急需支出，集中财力办大事，将更多资金用于保障民生等重点领域。正确处理促发展和防风险的关系，加强政府债务预算管理和限额管理，增强财政运行稳定性和风险防控有效性。认真盘活闲置存量资产，多渠道缓解财政收支压力。</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0" w:firstLineChars="200"/>
        <w:textAlignment w:val="top"/>
        <w:rPr>
          <w:rFonts w:hint="default" w:ascii="Times New Roman" w:hAnsi="Times New Roman" w:eastAsia="方正仿宋简体" w:cs="Times New Roman"/>
          <w:color w:val="auto"/>
          <w:sz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（二）优化支出结构，促进民生改善。</w:t>
      </w:r>
      <w:r>
        <w:rPr>
          <w:rFonts w:hint="default" w:ascii="Times New Roman" w:hAnsi="Times New Roman" w:eastAsia="方正仿宋简体" w:cs="Times New Roman"/>
          <w:color w:val="auto"/>
          <w:sz w:val="32"/>
          <w:highlight w:val="none"/>
          <w:lang w:val="en-US" w:eastAsia="zh-CN"/>
        </w:rPr>
        <w:t>坚持“三保”支出在财政支出中“占据首位”，围绕就业、教育、医疗、社会保障等领域群众关心关注的突出问题，不断完善财政支持政策，稳步提高财政保障水平，坚决兜紧兜牢“三保”底线。</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0" w:firstLineChars="200"/>
        <w:textAlignment w:val="top"/>
        <w:rPr>
          <w:rFonts w:hint="default" w:ascii="Times New Roman" w:hAnsi="Times New Roman" w:eastAsia="方正仿宋简体" w:cs="Times New Roman"/>
          <w:color w:val="auto"/>
          <w:sz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（三）树立底线思维，防范化解重点领域风险。</w:t>
      </w:r>
      <w:r>
        <w:rPr>
          <w:rFonts w:hint="default" w:ascii="Times New Roman" w:hAnsi="Times New Roman" w:eastAsia="方正仿宋简体" w:cs="Times New Roman"/>
          <w:b/>
          <w:bCs/>
          <w:color w:val="auto"/>
          <w:sz w:val="32"/>
          <w:highlight w:val="none"/>
          <w:lang w:val="en-US" w:eastAsia="zh-CN"/>
        </w:rPr>
        <w:t>一是</w:t>
      </w:r>
      <w:r>
        <w:rPr>
          <w:rFonts w:hint="default" w:ascii="Times New Roman" w:hAnsi="Times New Roman" w:eastAsia="方正仿宋简体" w:cs="Times New Roman"/>
          <w:color w:val="auto"/>
          <w:sz w:val="32"/>
          <w:highlight w:val="none"/>
          <w:lang w:val="en-US" w:eastAsia="zh-CN"/>
        </w:rPr>
        <w:t>坚持“三保”支出在预算安排中的优先地位，坚决防范基层“三保”风险，</w:t>
      </w:r>
      <w:r>
        <w:rPr>
          <w:rFonts w:hint="default" w:ascii="Times New Roman" w:hAnsi="Times New Roman" w:eastAsia="方正仿宋简体" w:cs="Times New Roman"/>
          <w:b/>
          <w:bCs/>
          <w:color w:val="auto"/>
          <w:sz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要严格遵守《预算法》，坚持“先有资金来源，后有预算及支出”的原则，严格执行按法定程序批准的预算，严禁无资金来源、无预算拨付资金。严禁通过暂付款实现收支平衡，或解决支出需求，切实防范财政支付风险。</w:t>
      </w:r>
      <w:r>
        <w:rPr>
          <w:rFonts w:hint="default" w:ascii="Times New Roman" w:hAnsi="Times New Roman" w:eastAsia="方正仿宋简体" w:cs="Times New Roman"/>
          <w:b/>
          <w:bCs/>
          <w:color w:val="auto"/>
          <w:sz w:val="32"/>
          <w:highlight w:val="none"/>
          <w:lang w:val="en-US" w:eastAsia="zh-CN"/>
        </w:rPr>
        <w:t>三是</w:t>
      </w:r>
      <w:r>
        <w:rPr>
          <w:rFonts w:hint="default" w:ascii="Times New Roman" w:hAnsi="Times New Roman" w:eastAsia="方正仿宋简体" w:cs="Times New Roman"/>
          <w:color w:val="auto"/>
          <w:sz w:val="32"/>
          <w:highlight w:val="none"/>
          <w:lang w:val="en-US" w:eastAsia="zh-CN"/>
        </w:rPr>
        <w:t>持续防范化解债务风险。持续化解隐性债务存量，严控隐性债务增量，严格落实中央、自治区一揽子化债政策，有效提高政府发债、管债、控债、化债能力，提高地方金融风险防控能力。</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val="0"/>
        <w:spacing w:line="580" w:lineRule="exact"/>
        <w:ind w:firstLine="640" w:firstLineChars="200"/>
        <w:textAlignment w:val="top"/>
        <w:rPr>
          <w:rFonts w:hint="default" w:ascii="Times New Roman" w:hAnsi="Times New Roman" w:eastAsia="方正仿宋简体" w:cs="Times New Roman"/>
          <w:color w:val="auto"/>
          <w:sz w:val="32"/>
          <w:highlight w:val="none"/>
          <w:lang w:val="en-US" w:eastAsia="zh-CN"/>
        </w:rPr>
      </w:pPr>
      <w:r>
        <w:rPr>
          <w:rFonts w:hint="default" w:ascii="Times New Roman" w:hAnsi="Times New Roman" w:eastAsia="方正仿宋简体" w:cs="Times New Roman"/>
          <w:b/>
          <w:bCs/>
          <w:color w:val="auto"/>
          <w:sz w:val="32"/>
          <w:szCs w:val="32"/>
          <w:highlight w:val="none"/>
          <w:lang w:val="en-US" w:eastAsia="zh-CN"/>
        </w:rPr>
        <w:t>（四）厉行勤俭节约，树立过紧日子思想。</w:t>
      </w:r>
      <w:r>
        <w:rPr>
          <w:rFonts w:hint="default" w:ascii="Times New Roman" w:hAnsi="Times New Roman" w:eastAsia="方正仿宋简体" w:cs="Times New Roman"/>
          <w:color w:val="auto"/>
          <w:sz w:val="32"/>
          <w:highlight w:val="none"/>
          <w:lang w:val="en-US" w:eastAsia="zh-CN"/>
        </w:rPr>
        <w:t>坚持把“过紧日子”作为财政工作主基调，进一步树立忧患意识，坚持勤俭办一切事业，从严从紧、精打细算、科学合理编制部门预算，不断强化预算约束，严格“三公”经费管理，严控预算单位一般性支出，大力调整优化支出结构，切实保障重点支出，更好地发挥财政资金效益。</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今年的财政工作将面临更多挑战，我们将在县委的正确领导下，自觉接受人大和社会各界的全方位监督，以更开阔的思路，更有力的措施，解放思想、改革创新，为全县经济社会高质量发展做出财政贡献！</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line="580" w:lineRule="exact"/>
        <w:ind w:firstLine="640" w:firstLineChars="200"/>
        <w:textAlignment w:val="top"/>
        <w:rPr>
          <w:rFonts w:hint="default" w:ascii="Times New Roman" w:hAnsi="Times New Roman" w:eastAsia="方正仿宋简体" w:cs="Times New Roman"/>
          <w:color w:val="auto"/>
          <w:sz w:val="32"/>
          <w:szCs w:val="32"/>
          <w:highlight w:val="none"/>
          <w:lang w:val="en-US" w:eastAsia="zh-CN"/>
        </w:rPr>
      </w:pPr>
    </w:p>
    <w:p>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第二部分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“四本”预算公开表</w:t>
      </w:r>
    </w:p>
    <w:p>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一、一般公共预算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12"/>
        <w:tblW w:w="89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59"/>
        <w:gridCol w:w="3027"/>
        <w:gridCol w:w="1714"/>
        <w:gridCol w:w="1677"/>
        <w:gridCol w:w="15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959" w:type="dxa"/>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w:t>
            </w:r>
          </w:p>
        </w:tc>
        <w:tc>
          <w:tcPr>
            <w:tcW w:w="3027"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714"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677"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546"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923" w:type="dxa"/>
            <w:gridSpan w:val="5"/>
            <w:tcBorders>
              <w:bottom w:val="nil"/>
            </w:tcBorders>
            <w:noWrap w:val="0"/>
            <w:vAlign w:val="center"/>
          </w:tcPr>
          <w:p>
            <w:pPr>
              <w:keepNext w:val="0"/>
              <w:keepLines w:val="0"/>
              <w:widowControl/>
              <w:suppressLineNumbers w:val="0"/>
              <w:ind w:left="0" w:leftChars="0" w:right="0" w:rightChars="0"/>
              <w:jc w:val="center"/>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0" w:hRule="atLeast"/>
        </w:trPr>
        <w:tc>
          <w:tcPr>
            <w:tcW w:w="959" w:type="dxa"/>
            <w:vMerge w:val="restart"/>
            <w:tcBorders>
              <w:top w:val="nil"/>
              <w:left w:val="nil"/>
              <w:bottom w:val="nil"/>
              <w:right w:val="nil"/>
            </w:tcBorders>
            <w:shd w:val="clear" w:color="auto" w:fill="auto"/>
            <w:noWrap w:val="0"/>
            <w:vAlign w:val="center"/>
          </w:tcPr>
          <w:p>
            <w:pPr>
              <w:jc w:val="center"/>
              <w:rPr>
                <w:rFonts w:hint="default" w:ascii="Times New Roman" w:hAnsi="Times New Roman" w:eastAsia="宋体" w:cs="Times New Roman"/>
                <w:i w:val="0"/>
                <w:color w:val="000000"/>
                <w:sz w:val="11"/>
                <w:szCs w:val="11"/>
                <w:highlight w:val="none"/>
                <w:u w:val="none"/>
              </w:rPr>
            </w:pPr>
          </w:p>
        </w:tc>
        <w:tc>
          <w:tcPr>
            <w:tcW w:w="3027" w:type="dxa"/>
            <w:vMerge w:val="restart"/>
            <w:tcBorders>
              <w:top w:val="nil"/>
              <w:left w:val="nil"/>
              <w:bottom w:val="nil"/>
              <w:right w:val="nil"/>
            </w:tcBorders>
            <w:shd w:val="clear" w:color="auto" w:fill="FFFFFF"/>
            <w:noWrap w:val="0"/>
            <w:vAlign w:val="center"/>
          </w:tcPr>
          <w:p>
            <w:pPr>
              <w:jc w:val="center"/>
              <w:rPr>
                <w:rFonts w:hint="default" w:ascii="Times New Roman" w:hAnsi="Times New Roman" w:eastAsia="宋体" w:cs="Times New Roman"/>
                <w:i w:val="0"/>
                <w:color w:val="000000"/>
                <w:sz w:val="11"/>
                <w:szCs w:val="11"/>
                <w:highlight w:val="none"/>
                <w:u w:val="none"/>
              </w:rPr>
            </w:pPr>
          </w:p>
        </w:tc>
        <w:tc>
          <w:tcPr>
            <w:tcW w:w="1714" w:type="dxa"/>
            <w:vMerge w:val="restart"/>
            <w:tcBorders>
              <w:top w:val="nil"/>
              <w:left w:val="nil"/>
              <w:bottom w:val="nil"/>
              <w:right w:val="nil"/>
            </w:tcBorders>
            <w:shd w:val="clear" w:color="auto" w:fill="FFFFFF"/>
            <w:noWrap w:val="0"/>
            <w:vAlign w:val="center"/>
          </w:tcPr>
          <w:p>
            <w:pPr>
              <w:jc w:val="center"/>
              <w:rPr>
                <w:rFonts w:hint="default" w:ascii="Times New Roman" w:hAnsi="Times New Roman" w:eastAsia="宋体" w:cs="Times New Roman"/>
                <w:i w:val="0"/>
                <w:color w:val="000000"/>
                <w:sz w:val="11"/>
                <w:szCs w:val="11"/>
                <w:highlight w:val="none"/>
                <w:u w:val="none"/>
              </w:rPr>
            </w:pPr>
          </w:p>
        </w:tc>
        <w:tc>
          <w:tcPr>
            <w:tcW w:w="1677" w:type="dxa"/>
            <w:vMerge w:val="restart"/>
            <w:tcBorders>
              <w:top w:val="nil"/>
              <w:left w:val="nil"/>
              <w:bottom w:val="nil"/>
              <w:right w:val="nil"/>
            </w:tcBorders>
            <w:shd w:val="clear" w:color="auto" w:fill="FFFFFF"/>
            <w:noWrap w:val="0"/>
            <w:vAlign w:val="center"/>
          </w:tcPr>
          <w:p>
            <w:pPr>
              <w:jc w:val="center"/>
              <w:rPr>
                <w:rFonts w:hint="default" w:ascii="Times New Roman" w:hAnsi="Times New Roman" w:eastAsia="宋体" w:cs="Times New Roman"/>
                <w:i w:val="0"/>
                <w:color w:val="000000"/>
                <w:sz w:val="11"/>
                <w:szCs w:val="11"/>
                <w:highlight w:val="none"/>
                <w:u w:val="none"/>
              </w:rPr>
            </w:pPr>
          </w:p>
        </w:tc>
        <w:tc>
          <w:tcPr>
            <w:tcW w:w="1546" w:type="dxa"/>
            <w:vMerge w:val="restart"/>
            <w:tcBorders>
              <w:top w:val="nil"/>
              <w:left w:val="nil"/>
              <w:bottom w:val="nil"/>
              <w:right w:val="nil"/>
            </w:tcBorders>
            <w:noWrap w:val="0"/>
            <w:vAlign w:val="center"/>
          </w:tcPr>
          <w:p>
            <w:pPr>
              <w:keepNext w:val="0"/>
              <w:keepLines w:val="0"/>
              <w:widowControl/>
              <w:suppressLineNumbers w:val="0"/>
              <w:ind w:left="0" w:leftChars="0" w:right="0" w:rightChars="0"/>
              <w:jc w:val="righ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959" w:type="dxa"/>
            <w:vMerge w:val="continue"/>
            <w:tcBorders>
              <w:top w:val="nil"/>
              <w:left w:val="nil"/>
              <w:bottom w:val="single" w:color="000000" w:sz="4" w:space="0"/>
              <w:right w:val="nil"/>
            </w:tcBorders>
            <w:shd w:val="clear" w:color="auto" w:fill="auto"/>
            <w:noWrap w:val="0"/>
            <w:vAlign w:val="center"/>
          </w:tcPr>
          <w:p>
            <w:pPr>
              <w:jc w:val="center"/>
              <w:rPr>
                <w:rFonts w:hint="default" w:ascii="Times New Roman" w:hAnsi="Times New Roman" w:eastAsia="宋体" w:cs="Times New Roman"/>
                <w:i w:val="0"/>
                <w:color w:val="000000"/>
                <w:sz w:val="24"/>
                <w:szCs w:val="24"/>
                <w:highlight w:val="none"/>
                <w:u w:val="none"/>
              </w:rPr>
            </w:pPr>
          </w:p>
        </w:tc>
        <w:tc>
          <w:tcPr>
            <w:tcW w:w="3027" w:type="dxa"/>
            <w:vMerge w:val="continue"/>
            <w:tcBorders>
              <w:top w:val="nil"/>
              <w:left w:val="nil"/>
              <w:bottom w:val="single" w:color="000000" w:sz="4" w:space="0"/>
              <w:right w:val="nil"/>
            </w:tcBorders>
            <w:shd w:val="clear" w:color="auto" w:fill="FFFFFF"/>
            <w:noWrap w:val="0"/>
            <w:vAlign w:val="center"/>
          </w:tcPr>
          <w:p>
            <w:pPr>
              <w:jc w:val="center"/>
              <w:rPr>
                <w:rFonts w:hint="default" w:ascii="Times New Roman" w:hAnsi="Times New Roman" w:eastAsia="宋体" w:cs="Times New Roman"/>
                <w:i w:val="0"/>
                <w:color w:val="000000"/>
                <w:sz w:val="24"/>
                <w:szCs w:val="24"/>
                <w:highlight w:val="none"/>
                <w:u w:val="none"/>
              </w:rPr>
            </w:pPr>
          </w:p>
        </w:tc>
        <w:tc>
          <w:tcPr>
            <w:tcW w:w="1714" w:type="dxa"/>
            <w:vMerge w:val="continue"/>
            <w:tcBorders>
              <w:top w:val="nil"/>
              <w:left w:val="nil"/>
              <w:bottom w:val="single" w:color="000000" w:sz="4" w:space="0"/>
              <w:right w:val="nil"/>
            </w:tcBorders>
            <w:shd w:val="clear" w:color="auto" w:fill="FFFFFF"/>
            <w:noWrap w:val="0"/>
            <w:vAlign w:val="center"/>
          </w:tcPr>
          <w:p>
            <w:pPr>
              <w:jc w:val="center"/>
              <w:rPr>
                <w:rFonts w:hint="default" w:ascii="Times New Roman" w:hAnsi="Times New Roman" w:eastAsia="宋体" w:cs="Times New Roman"/>
                <w:i w:val="0"/>
                <w:color w:val="000000"/>
                <w:sz w:val="24"/>
                <w:szCs w:val="24"/>
                <w:highlight w:val="none"/>
                <w:u w:val="none"/>
              </w:rPr>
            </w:pPr>
          </w:p>
        </w:tc>
        <w:tc>
          <w:tcPr>
            <w:tcW w:w="1677" w:type="dxa"/>
            <w:vMerge w:val="continue"/>
            <w:tcBorders>
              <w:top w:val="nil"/>
              <w:left w:val="nil"/>
              <w:bottom w:val="single" w:color="000000" w:sz="4" w:space="0"/>
              <w:right w:val="nil"/>
            </w:tcBorders>
            <w:shd w:val="clear" w:color="auto" w:fill="FFFFFF"/>
            <w:noWrap w:val="0"/>
            <w:vAlign w:val="center"/>
          </w:tcPr>
          <w:p>
            <w:pPr>
              <w:jc w:val="center"/>
              <w:rPr>
                <w:rFonts w:hint="default" w:ascii="Times New Roman" w:hAnsi="Times New Roman" w:eastAsia="宋体" w:cs="Times New Roman"/>
                <w:i w:val="0"/>
                <w:color w:val="000000"/>
                <w:sz w:val="24"/>
                <w:szCs w:val="24"/>
                <w:highlight w:val="none"/>
                <w:u w:val="none"/>
              </w:rPr>
            </w:pPr>
          </w:p>
        </w:tc>
        <w:tc>
          <w:tcPr>
            <w:tcW w:w="1546" w:type="dxa"/>
            <w:vMerge w:val="continue"/>
            <w:tcBorders>
              <w:top w:val="nil"/>
              <w:left w:val="nil"/>
              <w:bottom w:val="single" w:color="000000" w:sz="4" w:space="0"/>
              <w:right w:val="nil"/>
            </w:tcBorders>
            <w:noWrap w:val="0"/>
            <w:vAlign w:val="center"/>
          </w:tcPr>
          <w:p>
            <w:pPr>
              <w:jc w:val="cente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4"/>
                <w:szCs w:val="24"/>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一、税收收入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14893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10954</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-26.45%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10101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4767</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2973</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10104</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cs="Times New Roman"/>
                <w:i w:val="0"/>
                <w:color w:val="000000"/>
                <w:kern w:val="0"/>
                <w:sz w:val="20"/>
                <w:szCs w:val="20"/>
                <w:highlight w:val="none"/>
                <w:u w:val="none"/>
                <w:lang w:val="en-US" w:eastAsia="zh-CN" w:bidi="ar"/>
              </w:rPr>
              <w:t>企业所得税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1634</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697</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-57.34%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10106</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个人所得税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1467</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370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10107</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资源税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437</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655</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49.89%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城市维护建设税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372</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445</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19.62%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10110</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房产税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3163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2398</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-24.19%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印花税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263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239</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10112</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城镇土地使用税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435</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247</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10113</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土地增值税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751</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1252</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-66.71%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10114</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车船税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904</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868</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10118</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耕地占用税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78</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278</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256.41%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契税</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622</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532</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二、非税收入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17107</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17122</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10302</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sz w:val="24"/>
                <w:szCs w:val="24"/>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专项收入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489</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526</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4"/>
                <w:szCs w:val="24"/>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10304</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方正仿宋_GBK" w:cs="Times New Roman"/>
                <w:i w:val="0"/>
                <w:color w:val="000000"/>
                <w:sz w:val="24"/>
                <w:szCs w:val="24"/>
                <w:highlight w:val="none"/>
                <w:u w:val="none"/>
                <w:lang w:val="en-US" w:eastAsia="zh-Hans"/>
              </w:rPr>
            </w:pPr>
            <w:r>
              <w:rPr>
                <w:rFonts w:hint="default" w:ascii="Times New Roman" w:hAnsi="Times New Roman" w:cs="Times New Roman"/>
                <w:i w:val="0"/>
                <w:color w:val="000000"/>
                <w:kern w:val="0"/>
                <w:sz w:val="20"/>
                <w:szCs w:val="20"/>
                <w:highlight w:val="none"/>
                <w:u w:val="none"/>
                <w:lang w:val="en-US" w:eastAsia="zh-CN" w:bidi="ar"/>
              </w:rPr>
              <w:t>行政事业性收费收入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1683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2100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10305</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罚没收入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1793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1348</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10307</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eastAsia="zh-CN" w:bidi="ar"/>
              </w:rPr>
            </w:pPr>
            <w:r>
              <w:rPr>
                <w:rFonts w:hint="default" w:ascii="Times New Roman" w:hAnsi="Times New Roman" w:cs="Times New Roman"/>
                <w:i w:val="0"/>
                <w:color w:val="000000"/>
                <w:kern w:val="0"/>
                <w:sz w:val="20"/>
                <w:szCs w:val="20"/>
                <w:highlight w:val="none"/>
                <w:u w:val="none"/>
                <w:lang w:eastAsia="zh-CN" w:bidi="ar"/>
              </w:rPr>
              <w:t>国有资源（资产）有偿使用收入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12473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12010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政府住房基金收入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529</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1137</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114.93%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10399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131</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-99.24%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三、转移性支出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209058</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242750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返还性收入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1103</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1103</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23002</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一般性转移支付</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206376</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233870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23003</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专项转移支付</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1579</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7777</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392.53%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年终结余</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12452</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37370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23011</w:t>
            </w: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债务转贷收入</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24000</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cs="Times New Roman"/>
                <w:i w:val="0"/>
                <w:color w:val="000000"/>
                <w:kern w:val="0"/>
                <w:sz w:val="20"/>
                <w:szCs w:val="20"/>
                <w:highlight w:val="none"/>
                <w:u w:val="none"/>
                <w:lang w:val="en-US" w:eastAsia="zh-CN" w:bidi="ar"/>
              </w:rPr>
            </w:pPr>
          </w:p>
        </w:tc>
        <w:tc>
          <w:tcPr>
            <w:tcW w:w="302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1"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一般公共预算收入</w:t>
            </w:r>
            <w:r>
              <w:rPr>
                <w:rFonts w:hint="default" w:ascii="Times New Roman" w:hAnsi="Times New Roman" w:cs="Times New Roman"/>
                <w:b/>
                <w:i w:val="0"/>
                <w:color w:val="000000"/>
                <w:kern w:val="0"/>
                <w:sz w:val="20"/>
                <w:szCs w:val="20"/>
                <w:highlight w:val="none"/>
                <w:u w:val="none"/>
                <w:lang w:val="en-US" w:eastAsia="zh-CN" w:bidi="ar"/>
              </w:rPr>
              <w:t>合计</w:t>
            </w:r>
          </w:p>
        </w:tc>
        <w:tc>
          <w:tcPr>
            <w:tcW w:w="1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277549</w:t>
            </w:r>
          </w:p>
        </w:tc>
        <w:tc>
          <w:tcPr>
            <w:tcW w:w="167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310520</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-12.26%</w:t>
            </w:r>
          </w:p>
        </w:tc>
      </w:tr>
    </w:tbl>
    <w:p>
      <w:pPr>
        <w:keepNext w:val="0"/>
        <w:keepLines w:val="0"/>
        <w:pageBreakBefore w:val="0"/>
        <w:kinsoku/>
        <w:wordWrap/>
        <w:overflowPunct/>
        <w:topLinePunct w:val="0"/>
        <w:autoSpaceDE w:val="0"/>
        <w:autoSpaceDN w:val="0"/>
        <w:bidi w:val="0"/>
        <w:adjustRightInd/>
        <w:snapToGrid/>
        <w:spacing w:before="0" w:after="0" w:line="266" w:lineRule="auto"/>
        <w:ind w:right="0" w:rightChars="0" w:firstLine="420" w:firstLineChars="200"/>
        <w:jc w:val="left"/>
        <w:textAlignment w:val="auto"/>
        <w:rPr>
          <w:rFonts w:hint="default" w:ascii="Times New Roman" w:hAnsi="Times New Roman" w:cs="Times New Roman"/>
          <w:highlight w:val="none"/>
        </w:rPr>
      </w:pPr>
    </w:p>
    <w:tbl>
      <w:tblPr>
        <w:tblStyle w:val="12"/>
        <w:tblW w:w="89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34"/>
        <w:gridCol w:w="2951"/>
        <w:gridCol w:w="1641"/>
        <w:gridCol w:w="1641"/>
        <w:gridCol w:w="59"/>
        <w:gridCol w:w="15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034"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p>
        </w:tc>
        <w:tc>
          <w:tcPr>
            <w:tcW w:w="2951"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641"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700"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584"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8910" w:type="dxa"/>
            <w:gridSpan w:val="6"/>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noWrap w:val="0"/>
            <w:vAlign w:val="center"/>
          </w:tcPr>
          <w:p>
            <w:pPr>
              <w:rPr>
                <w:rFonts w:hint="default" w:ascii="Times New Roman" w:hAnsi="Times New Roman" w:eastAsia="宋体" w:cs="Times New Roman"/>
                <w:i w:val="0"/>
                <w:color w:val="000000"/>
                <w:sz w:val="24"/>
                <w:szCs w:val="24"/>
                <w:highlight w:val="none"/>
                <w:u w:val="none"/>
              </w:rPr>
            </w:pPr>
          </w:p>
        </w:tc>
        <w:tc>
          <w:tcPr>
            <w:tcW w:w="295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4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4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43"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03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95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4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95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4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一般公共服务</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27928</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33950</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37.03%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外交支出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国防支出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204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公共安全支出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10063</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15743</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90.55%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205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教育支出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73451</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94934</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206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科学技术支出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479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-67.22%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207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文化旅游体育与传媒支出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2194</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firstLine="600" w:firstLineChars="300"/>
              <w:jc w:val="both"/>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2162</w:t>
            </w:r>
            <w:r>
              <w:rPr>
                <w:rFonts w:hint="default" w:ascii="Times New Roman" w:hAnsi="Times New Roman" w:eastAsia="宋体" w:cs="Times New Roman"/>
                <w:i w:val="0"/>
                <w:iCs w:val="0"/>
                <w:color w:val="000000"/>
                <w:kern w:val="0"/>
                <w:sz w:val="20"/>
                <w:szCs w:val="20"/>
                <w:u w:val="none"/>
                <w:lang w:val="en-US" w:eastAsia="zh-CN" w:bidi="ar"/>
              </w:rPr>
              <w:t xml:space="preserve">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208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社会保障和就业支出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24687</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29457</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iCs w:val="0"/>
                <w:color w:val="000000"/>
                <w:kern w:val="0"/>
                <w:sz w:val="20"/>
                <w:szCs w:val="20"/>
                <w:u w:val="none"/>
                <w:lang w:val="en-US" w:eastAsia="zh-CN" w:bidi="ar"/>
              </w:rPr>
              <w:t xml:space="preserve">210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卫生健康支出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13948</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22127</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211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节能环保支出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7279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3024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212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城乡社区支出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3946</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2369</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213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农林水支出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83379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59193</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-26.90%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214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交通运输支出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5895</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6787</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215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资源勘探工业信息等支出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1293</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1284</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216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商业服务业等支出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166</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234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40.96%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217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金融支出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6</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219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援助其他地区支出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220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自然资源海洋气象等支出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209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330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57.89%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221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住房保障支出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6818</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13230</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94.03%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222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粮油物资储备支出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224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灾害防治及应急管理支出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708</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371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227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预备费</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lang w:val="en-US" w:eastAsia="zh-CN"/>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229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其他支出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7519</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12346</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64.2</w:t>
            </w:r>
            <w:r>
              <w:rPr>
                <w:rFonts w:hint="default" w:ascii="Times New Roman" w:hAnsi="Times New Roman" w:cs="Times New Roman"/>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230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Style w:val="15"/>
                <w:rFonts w:hint="default" w:ascii="Times New Roman" w:hAnsi="Times New Roman" w:cs="Times New Roman"/>
                <w:lang w:val="en-US" w:eastAsia="zh-CN" w:bidi="ar"/>
              </w:rPr>
            </w:pPr>
            <w:r>
              <w:rPr>
                <w:rStyle w:val="15"/>
                <w:rFonts w:hint="default" w:ascii="Times New Roman" w:hAnsi="Times New Roman" w:cs="Times New Roman"/>
                <w:lang w:val="en-US" w:eastAsia="zh-CN" w:bidi="ar"/>
              </w:rPr>
              <w:t>转移性支出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cs="Times New Roman"/>
                <w:i w:val="0"/>
                <w:iCs w:val="0"/>
                <w:color w:val="000000"/>
                <w:sz w:val="20"/>
                <w:szCs w:val="20"/>
                <w:u w:val="none"/>
                <w:lang w:val="en-US" w:eastAsia="zh-CN"/>
              </w:rPr>
              <w:t>383</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0"/>
                <w:sz w:val="20"/>
                <w:szCs w:val="20"/>
                <w:u w:val="none"/>
                <w:lang w:val="en-US" w:eastAsia="zh-CN" w:bidi="ar"/>
              </w:rPr>
              <w:t>2664</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lang w:val="en-US" w:eastAsia="zh-CN"/>
              </w:rPr>
              <w:t>595.56%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231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Style w:val="15"/>
                <w:rFonts w:hint="default" w:ascii="Times New Roman" w:hAnsi="Times New Roman" w:cs="Times New Roman"/>
                <w:lang w:val="en-US" w:eastAsia="zh-CN" w:bidi="ar"/>
              </w:rPr>
            </w:pPr>
            <w:r>
              <w:rPr>
                <w:rStyle w:val="15"/>
                <w:rFonts w:hint="default" w:ascii="Times New Roman" w:hAnsi="Times New Roman" w:cs="Times New Roman"/>
                <w:lang w:val="en-US" w:eastAsia="zh-CN" w:bidi="ar"/>
              </w:rPr>
              <w:t>债务还本支出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iCs w:val="0"/>
                <w:color w:val="000000"/>
                <w:sz w:val="20"/>
                <w:szCs w:val="20"/>
                <w:u w:val="none"/>
              </w:rPr>
            </w:pP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353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232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债务付息支出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7176</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9766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iCs w:val="0"/>
                <w:color w:val="000000"/>
                <w:kern w:val="0"/>
                <w:sz w:val="20"/>
                <w:szCs w:val="20"/>
                <w:u w:val="none"/>
                <w:lang w:val="en-US" w:eastAsia="zh-CN" w:bidi="ar"/>
              </w:rPr>
              <w:t xml:space="preserve">233 </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Style w:val="15"/>
                <w:rFonts w:hint="default" w:ascii="Times New Roman" w:hAnsi="Times New Roman" w:cs="Times New Roman"/>
                <w:lang w:val="en-US" w:eastAsia="zh-CN" w:bidi="ar"/>
              </w:rPr>
              <w:t>债务发行费用支出</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cs="Times New Roman"/>
                <w:i w:val="0"/>
                <w:iCs w:val="0"/>
                <w:color w:val="000000"/>
                <w:kern w:val="2"/>
                <w:sz w:val="20"/>
                <w:szCs w:val="20"/>
                <w:u w:val="none"/>
                <w:lang w:val="en-US" w:eastAsia="zh-CN" w:bidi="ar-SA"/>
              </w:rPr>
              <w:t>22</w:t>
            </w:r>
          </w:p>
        </w:tc>
        <w:tc>
          <w:tcPr>
            <w:tcW w:w="164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 xml:space="preserve">40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29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支出总计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277549</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310521</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12.03%</w:t>
            </w:r>
          </w:p>
        </w:tc>
      </w:tr>
    </w:tbl>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tbl>
      <w:tblPr>
        <w:tblStyle w:val="12"/>
        <w:tblW w:w="89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036"/>
        <w:gridCol w:w="3074"/>
        <w:gridCol w:w="1560"/>
        <w:gridCol w:w="1500"/>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trPr>
        <w:tc>
          <w:tcPr>
            <w:tcW w:w="1036"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表3</w:t>
            </w:r>
          </w:p>
        </w:tc>
        <w:tc>
          <w:tcPr>
            <w:tcW w:w="3074"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56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50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785"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8955"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cs="Times New Roman"/>
                <w:b/>
                <w:bCs/>
                <w:i w:val="0"/>
                <w:color w:val="000000"/>
                <w:kern w:val="0"/>
                <w:sz w:val="20"/>
                <w:szCs w:val="20"/>
                <w:highlight w:val="none"/>
                <w:u w:val="none"/>
                <w:lang w:val="en-US" w:eastAsia="zh-Hans" w:bidi="ar"/>
              </w:rPr>
              <w:t>本级</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5" w:hRule="atLeast"/>
        </w:trPr>
        <w:tc>
          <w:tcPr>
            <w:tcW w:w="103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074"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6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0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85"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0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78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0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8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101</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一、税收收入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14893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10954</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10101</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4767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2973</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-37.63%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10104</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企业所得税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1634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697</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-57.34%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10106</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个人所得税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1467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370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10107</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资源税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655</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49.89%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10109</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城市维护建设税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372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445</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10110</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房产税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3163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2398</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10111</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印花税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239</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10112</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城镇土地使用税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435</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247</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10113</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土地增值税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751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1252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-66.71%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10114</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车船税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904</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868</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10118</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耕地占用税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78</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278</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256.41%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10119</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契税</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622</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532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二、非税收入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17107</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17122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10302</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专项收入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489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526</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2"/>
                <w:sz w:val="24"/>
                <w:szCs w:val="24"/>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10304</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方正仿宋_GBK" w:cs="Times New Roman"/>
                <w:i w:val="0"/>
                <w:color w:val="000000"/>
                <w:kern w:val="2"/>
                <w:sz w:val="24"/>
                <w:szCs w:val="24"/>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行政事业性收费收入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1683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10305</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罚没收入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1793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1348</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10307</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eastAsia="zh-CN" w:bidi="ar"/>
              </w:rPr>
              <w:t>国有资源（资产）有偿使用收入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12473</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12010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10309</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政府住房基金收入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529</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1137</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114.93%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10399</w:t>
            </w:r>
          </w:p>
        </w:tc>
        <w:tc>
          <w:tcPr>
            <w:tcW w:w="307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left="0" w:leftChars="0" w:right="0" w:rightChars="0"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其他收入</w:t>
            </w:r>
          </w:p>
        </w:tc>
        <w:tc>
          <w:tcPr>
            <w:tcW w:w="15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131</w:t>
            </w:r>
          </w:p>
        </w:tc>
        <w:tc>
          <w:tcPr>
            <w:tcW w:w="15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-99.24%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03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30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一般公共预算收入</w:t>
            </w:r>
            <w:r>
              <w:rPr>
                <w:rFonts w:hint="default" w:ascii="Times New Roman" w:hAnsi="Times New Roman" w:cs="Times New Roman"/>
                <w:b/>
                <w:i w:val="0"/>
                <w:color w:val="000000"/>
                <w:kern w:val="0"/>
                <w:sz w:val="20"/>
                <w:szCs w:val="20"/>
                <w:highlight w:val="none"/>
                <w:u w:val="none"/>
                <w:lang w:val="en-US" w:eastAsia="zh-CN" w:bidi="ar"/>
              </w:rPr>
              <w:t>合计</w:t>
            </w:r>
          </w:p>
        </w:tc>
        <w:tc>
          <w:tcPr>
            <w:tcW w:w="15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32000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28076</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-12.26%</w:t>
            </w:r>
          </w:p>
        </w:tc>
      </w:tr>
    </w:tbl>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tbl>
      <w:tblPr>
        <w:tblStyle w:val="12"/>
        <w:tblW w:w="89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06"/>
        <w:gridCol w:w="3930"/>
        <w:gridCol w:w="672"/>
        <w:gridCol w:w="678"/>
        <w:gridCol w:w="586"/>
        <w:gridCol w:w="640"/>
        <w:gridCol w:w="10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0" w:hRule="atLeast"/>
        </w:trPr>
        <w:tc>
          <w:tcPr>
            <w:tcW w:w="1306"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表4</w:t>
            </w:r>
          </w:p>
        </w:tc>
        <w:tc>
          <w:tcPr>
            <w:tcW w:w="393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672"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264"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738"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8910" w:type="dxa"/>
            <w:gridSpan w:val="7"/>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cs="Times New Roman"/>
                <w:b/>
                <w:bCs/>
                <w:i w:val="0"/>
                <w:color w:val="000000"/>
                <w:kern w:val="0"/>
                <w:sz w:val="20"/>
                <w:szCs w:val="20"/>
                <w:highlight w:val="none"/>
                <w:u w:val="none"/>
                <w:lang w:val="en-US" w:eastAsia="zh-Hans" w:bidi="ar"/>
              </w:rPr>
              <w:t>本级</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30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93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26"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98"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0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9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35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0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30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9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9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一般公共服务支出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27928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33950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人大事务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310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409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32.26%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298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399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33.78%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2010108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rPr>
            </w:pP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其他人大事务支出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政协事务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19.38%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19.38%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政府办公厅（室）及相关机构事务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15896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20342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27.97%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15710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20184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28.48%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2010350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-15.28%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发展与改革事务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531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489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425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428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其他发展与改革事务支出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统计信息事务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243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47.51%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243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47.51%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2010507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专项普查活动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2010508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统计抽样调查</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财政事务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617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604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617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2010699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其他财政事务支出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审计事务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306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448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2010801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299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448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2010804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审计业务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纪检监察事务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1569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2011101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1547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2099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35.66%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2011199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其他纪检监察事务支出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178.64%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20129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群众团体事务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103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2521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2012901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61</w:t>
            </w:r>
            <w:r>
              <w:rPr>
                <w:rFonts w:hint="default" w:ascii="Times New Roman" w:hAnsi="Times New Roman" w:eastAsia="仿宋_GB2312" w:cs="Times New Roman"/>
                <w:color w:val="000000"/>
                <w:sz w:val="22"/>
                <w:szCs w:val="24"/>
                <w:lang w:val="en-US" w:eastAsia="zh-CN"/>
              </w:rPr>
              <w:t>4</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2012902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一般行政管理事务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2012906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工会事务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25.93%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2012999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其他群众团体事务支出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1576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78</w:t>
            </w:r>
            <w:r>
              <w:rPr>
                <w:rFonts w:hint="default" w:ascii="Times New Roman" w:hAnsi="Times New Roman" w:eastAsia="仿宋_GB2312" w:cs="Times New Roman"/>
                <w:color w:val="000000"/>
                <w:sz w:val="22"/>
                <w:szCs w:val="24"/>
                <w:lang w:val="en-US" w:eastAsia="zh-CN"/>
              </w:rPr>
              <w:t>700</w:t>
            </w:r>
            <w:r>
              <w:rPr>
                <w:rFonts w:hint="default" w:ascii="Times New Roman" w:hAnsi="Times New Roman" w:eastAsia="仿宋_GB2312" w:cs="Times New Roman"/>
                <w:color w:val="000000"/>
                <w:sz w:val="22"/>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党委办公厅（室）及相关机构事务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2555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2720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17"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1680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1803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机关服务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261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2013150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614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734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19.57%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组织事务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2212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859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788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38.28%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其他组织事务支出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1642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-95.65%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宣传事务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419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419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统战事务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964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1191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868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69.26%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2013404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宗教事务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其他共产党事务支出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2013650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网信事务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286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2013701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市场监督管理事务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887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598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885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47.96%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63"/>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2013812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药品事务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2013899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其他市场监督管理事务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-66.67%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其他一般公共服务支出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107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2019999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其他一般公共服务支出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-80.64%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公共安全支出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10063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15743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公安</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8274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10121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5820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7014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2040202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一般行政管理事务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2040220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执法办案</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其他公安支出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3051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1604.37%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国家安全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其他国家安全支出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司法</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873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5621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538</w:t>
            </w:r>
            <w:r>
              <w:rPr>
                <w:rFonts w:hint="default" w:ascii="Times New Roman" w:hAnsi="Times New Roman" w:eastAsia="仿宋_GB2312" w:cs="Times New Roman"/>
                <w:color w:val="000000"/>
                <w:sz w:val="22"/>
                <w:szCs w:val="24"/>
                <w:lang w:val="en-US" w:eastAsia="zh-CN"/>
              </w:rPr>
              <w:t>5</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673.81%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2040699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其他司法支出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236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国家保密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35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2040999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其他国家保密支出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900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73451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94934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教育管理事务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710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895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710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895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26.02%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普通教育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67463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86454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学前教育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11460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15268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33.23%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小学教育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25817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29986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16.15%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初中教育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14777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21218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高中教育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4878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11721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140.29%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其他普通教育支出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10531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8261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wordWrap w:val="0"/>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职业教育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4638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7188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中等职业教育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4385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6525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2050303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技校教育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663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162.25%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0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特殊教育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ind w:firstLine="394" w:firstLineChar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其他特殊教育支出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进修及培训</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2050802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干部教育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44"/>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20509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教育费附加安排的支出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269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44"/>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2050903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城市中小学校舍建设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2050905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中等职业学校教学设施</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2059999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其他教育支出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科学技术支出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科学技术管理事务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基础研究</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2060203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自然科学基金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技术研究与开发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373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2060404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科技成果转化与扩散</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373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-99.20%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科技条件与服务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其他科技条件与服务支出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20607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科学技术普及</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2060702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科普活动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文化旅游体育与传媒支出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2194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文化和旅游</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1592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1776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917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965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艺术表演团体</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560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文化创作与保护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文化和旅游管理事务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276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其他文化和旅游支出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198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文物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2070204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文物保护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博物馆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-85.23%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体育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363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2070307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体育场馆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-97.49%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2070308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群众体育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广播电视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2070807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传输发射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2070899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其他广播电视支出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-69.59%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其他科学技术支出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344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600"/>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2079902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宣传文化发展专项支出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2079999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其他文化旅游体育与传媒支出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344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536.96%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社会保障和就业支出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24777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29457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人力资源和社会保障管理事务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1251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915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49.70%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2080109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社会保险经办机构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其他人力资源和社会保障管理事务支出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103.14%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民政管理事务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549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478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458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其他民政管理事务支出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行政事业单位养老支出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6592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10198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行政单位离退休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871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1300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66.41%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事业单位离退休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535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67.58%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2080505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机关事业单位基本养老保险缴费支出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4927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8363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69.74%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2080506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机关事业单位职业年金缴费支出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就业补助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2258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2898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488"/>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2080702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职业培训补贴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2080704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社会保险补贴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692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345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2080705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公益性岗位补贴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626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-87.72%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2080709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职业技能评价补贴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2080711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就业见习补贴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2080713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促进创业补贴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其他就业补助支出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2454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1744.80%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抚恤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328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死亡抚恤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92.64%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2080802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伤残抚恤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2080805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义务兵优待</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178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83.81%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2080806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农村籍退役士兵老年生活补助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63.44%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0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其他优抚支出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退役安置</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98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2080904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退役士兵管理教育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2080905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军队转业干部安置</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101.00%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2080999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其他退役安置支出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146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20810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社会福利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722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儿童福利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137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136.28%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2081002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老年福利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2081099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其他社会福利支出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384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残疾人事业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662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944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165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54.27%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残疾人康复</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173.61%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2081105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残疾人就业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2081107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残疾人生活和护理补贴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72</w:t>
            </w:r>
            <w:r>
              <w:rPr>
                <w:rFonts w:hint="default" w:ascii="Times New Roman" w:hAnsi="Times New Roman" w:eastAsia="仿宋_GB2312" w:cs="Times New Roman"/>
                <w:color w:val="000000"/>
                <w:sz w:val="22"/>
                <w:szCs w:val="24"/>
                <w:lang w:val="en-US" w:eastAsia="zh-CN"/>
              </w:rPr>
              <w:t>6</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2081199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其他残疾人事业支出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最低生活保障</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9684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10829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2081901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城市最低生活保障金支出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804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11.55%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2081902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农村最低生活保障金支出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8963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10025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临时救助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329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临时救助支出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86.87%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2082002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流浪乞讨人员救助支出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特困人员救助供养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252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426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城市特困人员救助供养支出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2082102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农村特困人员救助供养支出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396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70.60%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其他生活救助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其他城市生活救助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其他农村生活救助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财政对基本养老保险基金的补助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2956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710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财政对企业职工基本养老保险基金的补助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149.98%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2082602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财政对城乡居民基本养老保险基金的补助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2928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640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-78.14%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退役军人管理事务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140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194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2082801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194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2082804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拥军优属</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44"/>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ab/>
            </w:r>
            <w:r>
              <w:rPr>
                <w:rFonts w:hint="default" w:ascii="Times New Roman" w:hAnsi="Times New Roman" w:eastAsia="仿宋_GB2312" w:cs="Times New Roman"/>
                <w:color w:val="000000"/>
                <w:sz w:val="22"/>
                <w:szCs w:val="24"/>
                <w:lang w:val="en-US" w:eastAsia="zh-CN"/>
              </w:rPr>
              <w:t>20899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其他社会保障和就业支出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241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ind w:firstLine="506" w:firstLineChar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2089999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其他社会保障和就业支出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241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卫生健康支出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13948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22127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卫生健康管理事务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484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729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63.76%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其他卫生健康管理事务支出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408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公立医院</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1727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2511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综合医院</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1419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2082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2100202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中医（民族）医院</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411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47.28%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其他公立医院支出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-37.93%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基层医疗卫生机构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3258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6057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乡镇卫生院</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3083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5793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87.90%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其他基层医疗卫生机构支出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264</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50.44%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公共卫生</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1761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4024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疾病预防控制机构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656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34.45%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2100402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卫生监督机构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妇幼保健机构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560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基本公共卫生服务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687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1569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128.43%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重大公共卫生服务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其他公共卫生支出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950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1596.34%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计划生育事务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3537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1503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2100717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计划生育服务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3537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1503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行政事业单位医疗</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2788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5488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行政单位医疗</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1647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2730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65.77%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2101102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事业单位医疗</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465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667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43.49%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公务员医疗补助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2091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209.28%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财政对基本医疗保险基金的补助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2101202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财政对城乡居民基本医疗保险基金的补助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27.54%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优抚对象医疗</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其他优抚对象医疗支出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1</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46.66%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医疗保障管理事务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其他医疗保障管理事务支出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中医药事务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2101704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中医（民族医）药专项</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21019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育幼服务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1522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2101902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育儿补贴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1522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0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21099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其他卫生健康支出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9"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210</w:t>
            </w:r>
            <w:r>
              <w:rPr>
                <w:rFonts w:hint="default" w:ascii="Times New Roman" w:hAnsi="Times New Roman" w:eastAsia="仿宋_GB2312" w:cs="Times New Roman"/>
                <w:color w:val="000000"/>
                <w:sz w:val="22"/>
                <w:szCs w:val="24"/>
                <w:lang w:val="en-US" w:eastAsia="zh-CN"/>
              </w:rPr>
              <w:t>9</w:t>
            </w:r>
            <w:r>
              <w:rPr>
                <w:rFonts w:hint="default" w:ascii="Times New Roman" w:hAnsi="Times New Roman" w:eastAsia="仿宋_GB2312" w:cs="Times New Roman"/>
                <w:color w:val="000000"/>
                <w:sz w:val="22"/>
                <w:szCs w:val="24"/>
              </w:rPr>
              <w:t>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其他卫生健康支出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600"/>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节能环保支出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7279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污染防治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1296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25"/>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2110302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水体</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1296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自然生态保护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3598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2110401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生态保护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3411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2126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-37.67%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2110402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农村环境保护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其他自然生态保护支出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147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森林保护修复</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531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2110501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森林管护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531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风沙荒漠治理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366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21110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能源节约利用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682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2111001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能源节约利用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682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2110799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sz w:val="22"/>
                <w:szCs w:val="24"/>
                <w:highlight w:val="none"/>
              </w:rPr>
              <w:t>其他风沙荒漠治理支出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366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06"/>
              </w:tabs>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eastAsia="zh-CN"/>
              </w:rPr>
              <w:tab/>
            </w:r>
            <w:r>
              <w:rPr>
                <w:rFonts w:hint="default" w:ascii="Times New Roman" w:hAnsi="Times New Roman" w:eastAsia="仿宋_GB2312" w:cs="Times New Roman"/>
                <w:color w:val="000000"/>
                <w:sz w:val="22"/>
                <w:szCs w:val="24"/>
                <w:highlight w:val="none"/>
                <w:lang w:val="en-US" w:eastAsia="zh-CN"/>
              </w:rPr>
              <w:t>21114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能源管理事务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924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2111407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能源行业管理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924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其他节能环保支出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2119999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其他节能环保支出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3946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2369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433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528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383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城管执法</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82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145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76.79%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城乡社区公共设施</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3404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1041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2120303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小城镇基础设施建设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545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700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28.44%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其他城乡社区公共设施支出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2859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341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-88.06%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城乡社区环境卫生</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城乡社区环境卫生</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30.46%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其他城乡社区支出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700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2129999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其他城乡社区支出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700</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2085.38%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农林水支出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83379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59193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农业农村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8543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12190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1062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1815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70.90%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1209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517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2130106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科技转化与推广服务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病虫害控制</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168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2130109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农产品质量安全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506"/>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2130119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FF"/>
                <w:sz w:val="22"/>
                <w:szCs w:val="24"/>
                <w:lang w:val="en-US" w:eastAsia="zh-CN"/>
              </w:rPr>
              <w:t xml:space="preserve">   </w:t>
            </w:r>
            <w:r>
              <w:rPr>
                <w:rFonts w:hint="default" w:ascii="Times New Roman" w:hAnsi="Times New Roman" w:eastAsia="仿宋_GB2312" w:cs="Times New Roman"/>
                <w:color w:val="auto"/>
                <w:sz w:val="22"/>
                <w:szCs w:val="24"/>
                <w:lang w:val="en-US" w:eastAsia="zh-CN"/>
              </w:rPr>
              <w:t xml:space="preserve"> 防灾救灾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151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2130120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稳定农民收入补贴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1964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2852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45.21%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2130122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农业生产发展</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1153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3925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240.39%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2130124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农村合作经济</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1351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179.71%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2130135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农业生态资源保护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1371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1502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2130153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耕地建设与利用</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942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其他农业农村支出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林业和草原</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2790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3325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730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91</w:t>
            </w:r>
            <w:r>
              <w:rPr>
                <w:rFonts w:hint="default" w:ascii="Times New Roman" w:hAnsi="Times New Roman" w:eastAsia="仿宋_GB2312" w:cs="Times New Roman"/>
                <w:color w:val="000000"/>
                <w:sz w:val="22"/>
                <w:szCs w:val="24"/>
                <w:lang w:val="en-US" w:eastAsia="zh-CN"/>
              </w:rPr>
              <w:t>2</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森林资源培育</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527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动植物保护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2130217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防沙治沙</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1592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3982.49%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2130221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产业化管理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2130234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林业草原防灾减灾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tabs>
                <w:tab w:val="left" w:pos="488"/>
              </w:tabs>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eastAsia="zh-CN"/>
              </w:rPr>
              <w:tab/>
            </w:r>
            <w:r>
              <w:rPr>
                <w:rFonts w:hint="default" w:ascii="Times New Roman" w:hAnsi="Times New Roman" w:eastAsia="仿宋_GB2312" w:cs="Times New Roman"/>
                <w:color w:val="000000"/>
                <w:sz w:val="22"/>
                <w:szCs w:val="24"/>
                <w:lang w:val="en-US" w:eastAsia="zh-CN"/>
              </w:rPr>
              <w:t>2130236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草原管理</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2130238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退耕还林还草</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567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-45.06%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其他林业和草原支出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435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水利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29370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6775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995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1228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水利工程建设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25775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2841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-88.98%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水利工程运行与维护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444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-98.37%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2130310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水土保持</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2130311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水资源节约管理与保护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-88.11%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2130314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防汛</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2130316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 xml:space="preserve">   农村水利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646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9"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江河湖库水系综合整治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259</w:t>
            </w:r>
            <w:r>
              <w:rPr>
                <w:rFonts w:hint="default" w:ascii="Times New Roman" w:hAnsi="Times New Roman" w:eastAsia="仿宋_GB2312" w:cs="Times New Roman"/>
                <w:color w:val="000000"/>
                <w:sz w:val="22"/>
                <w:szCs w:val="24"/>
                <w:lang w:val="en-US" w:eastAsia="zh-CN"/>
              </w:rPr>
              <w:t>8</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242.83%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2130335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农村供水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2130399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其他水利支出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544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巩固脱贫攻坚成果衔接乡村振兴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34980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31979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2130501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344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2130504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农村基础设施建设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613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843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37.55%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2130505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生产发展</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653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-98.47%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其他巩固脱贫攻坚成果衔接乡村振兴支出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33370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31126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农村综合改革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542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3386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2130701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对村级公益事业建设的补助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466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842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80.71%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2130705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对村民委员会和村党支部的补助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1810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2130707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农村综合改革示范试点补助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734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2130799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其他农村综合改革支出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普惠金融发展支出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1421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1361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2130803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农业保险保费补贴</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1389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1335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2130899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其他普惠金融发展支出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21399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其他农林水支出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5733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177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2139999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其他农林水支出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5733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177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交通运输支出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5895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6787</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16"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公路水路运输</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5402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6784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2140101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277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360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30.10%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2140104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公路建设</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4768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5712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19.81%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2140106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公路养护</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712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181.45%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2140199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其他公路水路运输支出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21405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邮政业支出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2140505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邮政普遍服务与特殊服务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21499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其他交通运输支出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2149901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公共交通运营补助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284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2149999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其他交通运输支出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-98.79%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资源勘探工业信息等支出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1293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1284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21502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制造业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1031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949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2150204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纺织业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1011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949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-6.16%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2150299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其他制造业支出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21505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工业和信息产业</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262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335</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2150501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235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335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42.67%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2150599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其他工业和信息产业监管支出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商业服务业等支出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166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商业流通事务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144</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2160219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民贸民品贷款贴息</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2160250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事业运行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116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151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21606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涉外发展服务支出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2160699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其他涉外发展服务支出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21699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其他商业服务业等支出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2169999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其他商业服务业等支出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十四、金融支出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21703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金融发展支出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2170302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利息费用补贴支出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自然资源海洋气象等支出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22001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自然资源事务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2200101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209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57.79%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住房保障支出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6818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13230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保障性安居工程支出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2522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6928</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棚户区改造</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58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67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15.62%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2210104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少数民族地区游牧民定居工程</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2210105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农村危房改造</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2210106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公共租赁住房</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189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2210108</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老旧小区改造</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6840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2995.02%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2"/>
                <w:szCs w:val="22"/>
              </w:rPr>
              <w:t>2210199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其他保障性安居工程支出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1992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住房改革支出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4105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6272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住房公积金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4105</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6272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52.79%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城乡社区住宅</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2210301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公有住房建设和维修改造支出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191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-84.29%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224</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灾害防治及应急管理支出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708</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371</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22401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应急管理事务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289</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2240101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250</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289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15.74%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22402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消防救援事务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82</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2240201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行政运行</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lang w:val="en-US" w:eastAsia="zh-CN"/>
              </w:rPr>
              <w:t>82</w:t>
            </w:r>
            <w:r>
              <w:rPr>
                <w:rFonts w:hint="default" w:ascii="Times New Roman" w:hAnsi="Times New Roman" w:eastAsia="仿宋_GB2312" w:cs="Times New Roman"/>
                <w:color w:val="000000"/>
                <w:sz w:val="22"/>
                <w:szCs w:val="24"/>
              </w:rPr>
              <w:t xml:space="preserve">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22405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地震事务</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2240550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地震事业机构</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1</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-52.00%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22406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自然灾害防治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2240601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地质灾害防治</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22407</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自然灾害救灾及恢复重建支出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Times New Roman" w:cs="Times New Roman"/>
                <w:color w:val="000000"/>
                <w:kern w:val="2"/>
                <w:sz w:val="20"/>
                <w:szCs w:val="24"/>
                <w:lang w:val="en-US" w:eastAsia="zh-CN" w:bidi="ar-SA"/>
              </w:rPr>
            </w:pPr>
            <w:r>
              <w:rPr>
                <w:rFonts w:hint="default" w:ascii="Times New Roman" w:hAnsi="Times New Roman" w:eastAsia="Times New Roman" w:cs="Times New Roman"/>
                <w:color w:val="000000"/>
                <w:sz w:val="20"/>
                <w:szCs w:val="24"/>
              </w:rPr>
              <w:t>2240703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0"/>
                <w:szCs w:val="24"/>
                <w:lang w:val="en-US" w:eastAsia="zh-CN" w:bidi="ar-SA"/>
              </w:rPr>
            </w:pPr>
            <w:r>
              <w:rPr>
                <w:rFonts w:hint="default" w:ascii="Times New Roman" w:hAnsi="Times New Roman" w:eastAsia="仿宋_GB2312" w:cs="Times New Roman"/>
                <w:color w:val="000000"/>
                <w:sz w:val="20"/>
                <w:szCs w:val="24"/>
              </w:rPr>
              <w:t>自然灾害救灾补助</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457</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7519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12346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22902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年初预留</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2843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2290201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年初预留</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2843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22999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其他支出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7519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9503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2299999</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其他支出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7519</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9503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26.38%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230</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转移性支出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2664</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23006</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上解支出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383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383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2300602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专项上解支出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383</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383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23015</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安排预算稳定调节基金</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2281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债务还本支出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353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23103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地方政府一般债务还本支出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353</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2310301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地方政府一般债券还本支出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353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center"/>
              <w:rPr>
                <w:rFonts w:hint="default" w:ascii="Times New Roman" w:hAnsi="Times New Roman" w:eastAsia="仿宋_GB2312" w:cs="Times New Roman"/>
                <w:color w:val="000000"/>
                <w:kern w:val="2"/>
                <w:sz w:val="22"/>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232</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债务付息支出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7176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9766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23203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地方政府一般债务付息支出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7176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9766</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2320301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地方政府一般债券付息支出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7176</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9766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36.09%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债务发行费用支出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23303</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地方政府一般债务发行费用支出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highlight w:val="none"/>
                <w:lang w:val="en-US" w:eastAsia="zh-CN"/>
              </w:rPr>
            </w:pPr>
            <w:r>
              <w:rPr>
                <w:rFonts w:hint="default" w:ascii="Times New Roman" w:hAnsi="Times New Roman" w:eastAsia="仿宋_GB2312" w:cs="Times New Roman"/>
                <w:color w:val="000000"/>
                <w:sz w:val="22"/>
                <w:szCs w:val="24"/>
                <w:highlight w:val="none"/>
                <w:lang w:val="en-US" w:eastAsia="zh-CN"/>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lang w:val="en-US" w:eastAsia="zh-CN"/>
              </w:rPr>
            </w:pPr>
            <w:r>
              <w:rPr>
                <w:rFonts w:hint="default" w:ascii="Times New Roman" w:hAnsi="Times New Roman" w:eastAsia="仿宋_GB2312" w:cs="Times New Roman"/>
                <w:color w:val="000000"/>
                <w:sz w:val="22"/>
                <w:szCs w:val="24"/>
                <w:lang w:val="en-US" w:eastAsia="zh-CN"/>
              </w:rPr>
              <w:t>40</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sz w:val="22"/>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1306"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2330301</w:t>
            </w:r>
          </w:p>
        </w:tc>
        <w:tc>
          <w:tcPr>
            <w:tcW w:w="393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lef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地方政府一般债务发行费用支出</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highlight w:val="none"/>
                <w:lang w:val="en-US" w:eastAsia="zh-CN" w:bidi="ar-SA"/>
              </w:rPr>
            </w:pPr>
            <w:r>
              <w:rPr>
                <w:rFonts w:hint="default" w:ascii="Times New Roman" w:hAnsi="Times New Roman" w:eastAsia="仿宋_GB2312" w:cs="Times New Roman"/>
                <w:color w:val="000000"/>
                <w:kern w:val="2"/>
                <w:sz w:val="22"/>
                <w:szCs w:val="24"/>
                <w:highlight w:val="none"/>
                <w:lang w:val="en-US" w:eastAsia="zh-CN" w:bidi="ar-SA"/>
              </w:rPr>
              <w:t>22</w:t>
            </w:r>
          </w:p>
        </w:tc>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 xml:space="preserve">40 </w:t>
            </w:r>
          </w:p>
        </w:tc>
        <w:tc>
          <w:tcPr>
            <w:tcW w:w="1098"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spacing w:beforeLines="0" w:afterLines="0"/>
              <w:jc w:val="right"/>
              <w:rPr>
                <w:rFonts w:hint="default" w:ascii="Times New Roman" w:hAnsi="Times New Roman" w:eastAsia="仿宋_GB2312" w:cs="Times New Roman"/>
                <w:color w:val="000000"/>
                <w:kern w:val="2"/>
                <w:sz w:val="22"/>
                <w:szCs w:val="24"/>
                <w:lang w:val="en-US" w:eastAsia="zh-CN" w:bidi="ar-SA"/>
              </w:rPr>
            </w:pPr>
            <w:r>
              <w:rPr>
                <w:rFonts w:hint="default" w:ascii="Times New Roman" w:hAnsi="Times New Roman" w:eastAsia="仿宋_GB2312" w:cs="Times New Roman"/>
                <w:color w:val="000000"/>
                <w:sz w:val="22"/>
                <w:szCs w:val="24"/>
              </w:rPr>
              <w:t>81.82%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35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277549</w:t>
            </w:r>
          </w:p>
        </w:tc>
        <w:tc>
          <w:tcPr>
            <w:tcW w:w="1226"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310520</w:t>
            </w:r>
          </w:p>
        </w:tc>
        <w:tc>
          <w:tcPr>
            <w:tcW w:w="109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bl>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p>
      <w:pPr>
        <w:rPr>
          <w:rFonts w:hint="default" w:ascii="Times New Roman" w:hAnsi="Times New Roman" w:cs="Times New Roman"/>
          <w:highlight w:val="none"/>
          <w:lang w:eastAsia="zh-Hans"/>
        </w:rPr>
      </w:pPr>
    </w:p>
    <w:tbl>
      <w:tblPr>
        <w:tblStyle w:val="12"/>
        <w:tblW w:w="89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05"/>
        <w:gridCol w:w="3151"/>
        <w:gridCol w:w="1590"/>
        <w:gridCol w:w="1840"/>
        <w:gridCol w:w="14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1" w:hRule="atLeast"/>
        </w:trPr>
        <w:tc>
          <w:tcPr>
            <w:tcW w:w="905"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表5</w:t>
            </w:r>
          </w:p>
        </w:tc>
        <w:tc>
          <w:tcPr>
            <w:tcW w:w="3151"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59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84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437"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5" w:hRule="atLeast"/>
        </w:trPr>
        <w:tc>
          <w:tcPr>
            <w:tcW w:w="8923"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本级一般公共预算基本支出预算表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8923" w:type="dxa"/>
            <w:gridSpan w:val="5"/>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 (减)%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501</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机关工资福利支出</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54269</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85740</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50101</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工资奖金津补贴</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39105</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48185</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50102</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 xml:space="preserve"> 社会保障缴费</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10752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26214</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50103</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0" w:firstLineChars="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 xml:space="preserve"> 住房公积金</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4412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11341</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502</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机关商品和服务支出</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2665</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3644</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50201</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办公经费</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2244</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2976</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50205</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 xml:space="preserve"> 委托业务费</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50208</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 xml:space="preserve"> 公务用车运行维护费</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367</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665</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50209</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 xml:space="preserve"> 其他商品服务支出</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51</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505</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对事业单位经常性补助</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85354</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45952</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50501</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工资福利支出</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84990</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45321</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50502</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 xml:space="preserve"> 商品和服务支出</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364</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631</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509</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对个人和家庭的补助</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4404</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3311</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50901</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 xml:space="preserve"> 社会福利和救助</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1532</w:t>
            </w:r>
          </w:p>
        </w:tc>
        <w:tc>
          <w:tcPr>
            <w:tcW w:w="1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3311</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31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732"/>
              </w:tabs>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ab/>
            </w: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146692</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138647</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ind w:firstLine="334" w:firstLineChars="0"/>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w:t>
            </w:r>
          </w:p>
        </w:tc>
      </w:tr>
    </w:tbl>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rPr>
          <w:rFonts w:hint="default" w:ascii="Times New Roman" w:hAnsi="Times New Roman" w:cs="Times New Roman"/>
          <w:highlight w:val="none"/>
        </w:rPr>
      </w:pPr>
    </w:p>
    <w:p>
      <w:pPr>
        <w:tabs>
          <w:tab w:val="left" w:pos="6070"/>
        </w:tabs>
        <w:rPr>
          <w:rFonts w:hint="default" w:ascii="Times New Roman" w:hAnsi="Times New Roman" w:eastAsia="宋体" w:cs="Times New Roman"/>
          <w:highlight w:val="none"/>
          <w:lang w:eastAsia="zh-CN"/>
        </w:rPr>
      </w:pPr>
      <w:r>
        <w:rPr>
          <w:rFonts w:hint="default" w:ascii="Times New Roman" w:hAnsi="Times New Roman" w:cs="Times New Roman"/>
          <w:highlight w:val="none"/>
          <w:lang w:eastAsia="zh-CN"/>
        </w:rPr>
        <w:tab/>
      </w:r>
    </w:p>
    <w:tbl>
      <w:tblPr>
        <w:tblStyle w:val="12"/>
        <w:tblW w:w="89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23"/>
        <w:gridCol w:w="2833"/>
        <w:gridCol w:w="1910"/>
        <w:gridCol w:w="1870"/>
        <w:gridCol w:w="13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8923" w:type="dxa"/>
            <w:gridSpan w:val="5"/>
            <w:noWrap w:val="0"/>
            <w:vAlign w:val="center"/>
          </w:tcPr>
          <w:p>
            <w:pPr>
              <w:keepNext w:val="0"/>
              <w:keepLines w:val="0"/>
              <w:widowControl/>
              <w:suppressLineNumbers w:val="0"/>
              <w:jc w:val="center"/>
              <w:textAlignment w:val="center"/>
              <w:rPr>
                <w:rFonts w:hint="default" w:ascii="Times New Roman" w:hAnsi="Times New Roman" w:cs="Times New Roman"/>
                <w:b/>
                <w:bCs/>
                <w:i w:val="0"/>
                <w:color w:val="000000"/>
                <w:kern w:val="0"/>
                <w:sz w:val="20"/>
                <w:szCs w:val="20"/>
                <w:highlight w:val="none"/>
                <w:u w:val="none"/>
                <w:lang w:val="en-US" w:eastAsia="zh-CN" w:bidi="ar"/>
              </w:rPr>
            </w:pP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表6</w:t>
            </w:r>
          </w:p>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cs="Times New Roman"/>
                <w:b/>
                <w:bCs/>
                <w:i w:val="0"/>
                <w:color w:val="000000"/>
                <w:kern w:val="0"/>
                <w:sz w:val="20"/>
                <w:szCs w:val="20"/>
                <w:highlight w:val="none"/>
                <w:u w:val="none"/>
                <w:lang w:val="en-US" w:eastAsia="zh-Hans" w:bidi="ar"/>
              </w:rPr>
              <w:t>本级</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一般公共预算政府预算支出经济分类明细表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2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83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91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87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87"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923"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83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9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8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38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 (减)%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923"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83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9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8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8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机关工资福利支出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54269</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85740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50101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工资奖金津补贴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39105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48185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50102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社会保障缴费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10752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26214</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50103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住房公积金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4412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11341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50199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其他工资福利支出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机关商品和服务支出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3906</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3010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50201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办公经费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3435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2345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培训费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50204</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专用材料购置费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50205</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委托业务费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50208</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公务用车运行维护费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367</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665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50209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维修（护）费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50299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 xml:space="preserve">其他商品和服务支出                    </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51</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0" w:firstLine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机关资本性支出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基础设施建设</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50306</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设备购置</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504</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机关资本性支出</w:t>
            </w:r>
            <w:r>
              <w:rPr>
                <w:rFonts w:hint="default" w:ascii="Times New Roman" w:hAnsi="Times New Roman" w:cs="Times New Roman"/>
                <w:i w:val="0"/>
                <w:color w:val="000000"/>
                <w:kern w:val="0"/>
                <w:sz w:val="20"/>
                <w:szCs w:val="20"/>
                <w:highlight w:val="none"/>
                <w:u w:val="none"/>
                <w:lang w:val="en-US" w:eastAsia="zh-CN" w:bidi="ar"/>
              </w:rPr>
              <w:t>(基本建设)</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22616</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41793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房屋建筑物购建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50402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基础设施建设</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22616</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22341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50404</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设备购置</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50405</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大型修缮</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50499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 xml:space="preserve">  其他资本性支出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19452</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505</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对事业单位经常性补助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86191</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45952</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50501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工资福利支出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85514</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45321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50502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商品和服务支出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677</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631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0" w:firstLine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对事业单位资本性补助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36012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60405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资本性支出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35858</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31251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50602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资本性支出（基本建设）</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154</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29154</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18831%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0" w:firstLine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对企业补助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685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685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费用补贴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485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485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利息补贴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50799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其他对企业补助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0" w:firstLineChars="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对个人和家庭的补助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14878</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32851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社会福利和救助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3311</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3311</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助学金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450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个人农业生产补贴</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6475</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16475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50905</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离退休费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2872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1600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50999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其他对个人和家庭补助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2220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11015</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510</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对社会保障基金补助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52</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51002</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对社会保险基金补助</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52</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债务利息及费用支出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9272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9806</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国内债务付息</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9192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9766</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51103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国内债务发行费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513</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转移性支出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422</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2707</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51301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上下级政府间转移性支出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383</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2664</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51304</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调出资金</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43</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514</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预备费及预留</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2806</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51401</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预备费</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2806</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46440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27519</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59999</w:t>
            </w: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其他支出</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46440</w:t>
            </w:r>
          </w:p>
        </w:tc>
        <w:tc>
          <w:tcPr>
            <w:tcW w:w="18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27519</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28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91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277549</w:t>
            </w:r>
          </w:p>
        </w:tc>
        <w:tc>
          <w:tcPr>
            <w:tcW w:w="18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310520</w:t>
            </w:r>
          </w:p>
        </w:tc>
        <w:tc>
          <w:tcPr>
            <w:tcW w:w="138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w:t>
            </w:r>
          </w:p>
        </w:tc>
      </w:tr>
    </w:tbl>
    <w:p>
      <w:pPr>
        <w:spacing w:line="20" w:lineRule="exact"/>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pStyle w:val="10"/>
        <w:rPr>
          <w:rFonts w:hint="default" w:ascii="Times New Roman" w:hAnsi="Times New Roman" w:cs="Times New Roman"/>
          <w:highlight w:val="none"/>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p>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pPr>
    </w:p>
    <w:tbl>
      <w:tblPr>
        <w:tblStyle w:val="12"/>
        <w:tblW w:w="88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86"/>
        <w:gridCol w:w="3190"/>
        <w:gridCol w:w="1570"/>
        <w:gridCol w:w="1570"/>
        <w:gridCol w:w="15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2" w:hRule="atLeast"/>
        </w:trPr>
        <w:tc>
          <w:tcPr>
            <w:tcW w:w="986"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7</w:t>
            </w:r>
          </w:p>
        </w:tc>
        <w:tc>
          <w:tcPr>
            <w:tcW w:w="319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86"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策勒县一般公共预算</w:t>
            </w:r>
            <w:r>
              <w:rPr>
                <w:rFonts w:hint="default" w:ascii="Times New Roman" w:hAnsi="Times New Roman" w:eastAsia="宋体" w:cs="Times New Roman"/>
                <w:b/>
                <w:bCs/>
                <w:i w:val="0"/>
                <w:color w:val="000000"/>
                <w:kern w:val="0"/>
                <w:sz w:val="20"/>
                <w:szCs w:val="20"/>
                <w:highlight w:val="none"/>
                <w:u w:val="none"/>
                <w:lang w:val="en-US" w:eastAsia="zh-CN" w:bidi="ar"/>
              </w:rPr>
              <w:t>对下</w:t>
            </w:r>
            <w:r>
              <w:rPr>
                <w:rFonts w:hint="default" w:ascii="Times New Roman" w:hAnsi="Times New Roman" w:cs="Times New Roman"/>
                <w:b/>
                <w:bCs/>
                <w:i w:val="0"/>
                <w:color w:val="000000"/>
                <w:kern w:val="0"/>
                <w:sz w:val="20"/>
                <w:szCs w:val="20"/>
                <w:highlight w:val="none"/>
                <w:u w:val="none"/>
                <w:lang w:val="en-US" w:eastAsia="zh-Hans" w:bidi="ar"/>
              </w:rPr>
              <w:t>转移支付</w:t>
            </w:r>
            <w:r>
              <w:rPr>
                <w:rFonts w:hint="default" w:ascii="Times New Roman" w:hAnsi="Times New Roman" w:eastAsia="宋体" w:cs="Times New Roman"/>
                <w:b/>
                <w:bCs/>
                <w:i w:val="0"/>
                <w:color w:val="000000"/>
                <w:kern w:val="0"/>
                <w:sz w:val="20"/>
                <w:szCs w:val="20"/>
                <w:highlight w:val="none"/>
                <w:u w:val="none"/>
                <w:lang w:val="en-US" w:eastAsia="zh-CN" w:bidi="ar"/>
              </w:rPr>
              <w:t>安排情况</w:t>
            </w:r>
            <w:r>
              <w:rPr>
                <w:rFonts w:hint="default" w:ascii="Times New Roman" w:hAnsi="Times New Roman" w:cs="Times New Roman"/>
                <w:b/>
                <w:bCs/>
                <w:i w:val="0"/>
                <w:color w:val="000000"/>
                <w:kern w:val="0"/>
                <w:sz w:val="20"/>
                <w:szCs w:val="20"/>
                <w:highlight w:val="none"/>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19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exact"/>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1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5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default" w:ascii="Times New Roman" w:hAnsi="Times New Roman"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1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一、返还性支出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所得税基数返还支出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2300104</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增值税税收返还支出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2300105</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消费税税收返还支出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二、一般性转移支付</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2300201</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体制补助支出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均衡性转移支付支出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2300207</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县级基本财力保障机制奖补资金支出</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23003</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三、专项转移支付</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3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对</w:t>
            </w:r>
            <w:r>
              <w:rPr>
                <w:rFonts w:hint="default" w:ascii="Times New Roman" w:hAnsi="Times New Roman" w:cs="Times New Roman"/>
                <w:b/>
                <w:i w:val="0"/>
                <w:color w:val="000000"/>
                <w:kern w:val="0"/>
                <w:sz w:val="20"/>
                <w:szCs w:val="20"/>
                <w:highlight w:val="none"/>
                <w:u w:val="none"/>
                <w:lang w:val="en-US" w:eastAsia="zh-CN" w:bidi="ar"/>
              </w:rPr>
              <w:t>下</w:t>
            </w:r>
            <w:r>
              <w:rPr>
                <w:rFonts w:hint="default" w:ascii="Times New Roman" w:hAnsi="Times New Roman" w:eastAsia="宋体" w:cs="Times New Roman"/>
                <w:b/>
                <w:i w:val="0"/>
                <w:color w:val="000000"/>
                <w:kern w:val="0"/>
                <w:sz w:val="20"/>
                <w:szCs w:val="20"/>
                <w:highlight w:val="none"/>
                <w:u w:val="none"/>
                <w:lang w:val="en-US" w:eastAsia="zh-CN" w:bidi="ar"/>
              </w:rPr>
              <w:t>税收返还和转移支付</w:t>
            </w:r>
            <w:r>
              <w:rPr>
                <w:rFonts w:hint="default" w:ascii="Times New Roman" w:hAnsi="Times New Roman" w:cs="Times New Roman"/>
                <w:b/>
                <w:i w:val="0"/>
                <w:color w:val="000000"/>
                <w:kern w:val="0"/>
                <w:sz w:val="20"/>
                <w:szCs w:val="20"/>
                <w:highlight w:val="none"/>
                <w:u w:val="none"/>
                <w:lang w:val="en-US" w:eastAsia="zh-CN" w:bidi="ar"/>
              </w:rPr>
              <w:t>合计</w:t>
            </w: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bl>
    <w:p>
      <w:pPr>
        <w:pStyle w:val="10"/>
        <w:ind w:firstLine="400" w:firstLineChars="200"/>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b w:val="0"/>
          <w:bCs/>
          <w:i w:val="0"/>
          <w:color w:val="000000"/>
          <w:kern w:val="0"/>
          <w:sz w:val="20"/>
          <w:szCs w:val="20"/>
          <w:highlight w:val="none"/>
          <w:u w:val="none"/>
          <w:lang w:val="en-US" w:eastAsia="zh-CN" w:bidi="ar"/>
        </w:rPr>
        <w:t>因2026年策勒县无对下安排转移支付，此表为空。</w:t>
      </w:r>
    </w:p>
    <w:p>
      <w:pPr>
        <w:pStyle w:val="10"/>
        <w:rPr>
          <w:rFonts w:hint="default" w:ascii="Times New Roman" w:hAnsi="Times New Roman" w:cs="Times New Roman"/>
          <w:b/>
          <w:bCs/>
          <w:sz w:val="24"/>
          <w:szCs w:val="24"/>
          <w:highlight w:val="none"/>
          <w:lang w:val="en-US" w:eastAsia="zh-Hans"/>
        </w:rPr>
      </w:pPr>
    </w:p>
    <w:p>
      <w:pPr>
        <w:pStyle w:val="10"/>
        <w:rPr>
          <w:rFonts w:hint="default" w:ascii="Times New Roman" w:hAnsi="Times New Roman" w:cs="Times New Roman"/>
          <w:b/>
          <w:bCs/>
          <w:sz w:val="24"/>
          <w:szCs w:val="24"/>
          <w:highlight w:val="none"/>
          <w:lang w:val="en-US" w:eastAsia="zh-Hans"/>
        </w:rPr>
      </w:pPr>
    </w:p>
    <w:tbl>
      <w:tblPr>
        <w:tblStyle w:val="12"/>
        <w:tblW w:w="88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896"/>
        <w:gridCol w:w="1270"/>
        <w:gridCol w:w="1182"/>
        <w:gridCol w:w="58"/>
        <w:gridCol w:w="60"/>
        <w:gridCol w:w="1064"/>
        <w:gridCol w:w="76"/>
        <w:gridCol w:w="160"/>
        <w:gridCol w:w="946"/>
        <w:gridCol w:w="354"/>
        <w:gridCol w:w="8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1" w:hRule="atLeast"/>
        </w:trPr>
        <w:tc>
          <w:tcPr>
            <w:tcW w:w="2896"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8</w:t>
            </w:r>
          </w:p>
        </w:tc>
        <w:tc>
          <w:tcPr>
            <w:tcW w:w="127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240"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200" w:type="dxa"/>
            <w:gridSpan w:val="3"/>
            <w:noWrap w:val="0"/>
            <w:vAlign w:val="center"/>
          </w:tcPr>
          <w:p>
            <w:pPr>
              <w:rPr>
                <w:rFonts w:hint="default" w:ascii="Times New Roman" w:hAnsi="Times New Roman" w:eastAsia="宋体" w:cs="Times New Roman"/>
                <w:i w:val="0"/>
                <w:color w:val="000000"/>
                <w:sz w:val="24"/>
                <w:szCs w:val="24"/>
                <w:highlight w:val="none"/>
                <w:u w:val="none"/>
              </w:rPr>
            </w:pPr>
          </w:p>
        </w:tc>
        <w:tc>
          <w:tcPr>
            <w:tcW w:w="1460" w:type="dxa"/>
            <w:gridSpan w:val="3"/>
            <w:noWrap w:val="0"/>
            <w:vAlign w:val="center"/>
          </w:tcPr>
          <w:p>
            <w:pPr>
              <w:rPr>
                <w:rFonts w:hint="default" w:ascii="Times New Roman" w:hAnsi="Times New Roman" w:eastAsia="宋体" w:cs="Times New Roman"/>
                <w:i w:val="0"/>
                <w:color w:val="000000"/>
                <w:sz w:val="24"/>
                <w:szCs w:val="24"/>
                <w:highlight w:val="none"/>
                <w:u w:val="none"/>
              </w:rPr>
            </w:pPr>
          </w:p>
        </w:tc>
        <w:tc>
          <w:tcPr>
            <w:tcW w:w="830"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8896" w:type="dxa"/>
            <w:gridSpan w:val="11"/>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策勒县一般公共预算</w:t>
            </w:r>
            <w:r>
              <w:rPr>
                <w:rFonts w:hint="default" w:ascii="Times New Roman" w:hAnsi="Times New Roman" w:eastAsia="宋体" w:cs="Times New Roman"/>
                <w:b/>
                <w:i w:val="0"/>
                <w:color w:val="000000"/>
                <w:kern w:val="0"/>
                <w:sz w:val="20"/>
                <w:szCs w:val="20"/>
                <w:highlight w:val="none"/>
                <w:u w:val="none"/>
                <w:lang w:val="en-US" w:eastAsia="zh-CN" w:bidi="ar"/>
              </w:rPr>
              <w:t>对下</w:t>
            </w:r>
            <w:r>
              <w:rPr>
                <w:rFonts w:hint="default" w:ascii="Times New Roman" w:hAnsi="Times New Roman" w:cs="Times New Roman"/>
                <w:b/>
                <w:i w:val="0"/>
                <w:color w:val="000000"/>
                <w:kern w:val="0"/>
                <w:sz w:val="20"/>
                <w:szCs w:val="20"/>
                <w:highlight w:val="none"/>
                <w:u w:val="none"/>
                <w:lang w:val="en-US" w:eastAsia="zh-Hans" w:bidi="ar"/>
              </w:rPr>
              <w:t>转移支付</w:t>
            </w:r>
            <w:r>
              <w:rPr>
                <w:rFonts w:hint="default" w:ascii="Times New Roman" w:hAnsi="Times New Roman" w:eastAsia="宋体" w:cs="Times New Roman"/>
                <w:b/>
                <w:i w:val="0"/>
                <w:color w:val="000000"/>
                <w:kern w:val="0"/>
                <w:sz w:val="20"/>
                <w:szCs w:val="20"/>
                <w:highlight w:val="none"/>
                <w:u w:val="none"/>
                <w:lang w:val="en-US" w:eastAsia="zh-CN" w:bidi="ar"/>
              </w:rPr>
              <w:t>情况</w:t>
            </w:r>
            <w:r>
              <w:rPr>
                <w:rFonts w:hint="default" w:ascii="Times New Roman" w:hAnsi="Times New Roman" w:cs="Times New Roman"/>
                <w:b/>
                <w:i w:val="0"/>
                <w:color w:val="000000"/>
                <w:kern w:val="0"/>
                <w:sz w:val="20"/>
                <w:szCs w:val="20"/>
                <w:highlight w:val="none"/>
                <w:u w:val="none"/>
                <w:lang w:val="en-US" w:eastAsia="zh-CN" w:bidi="ar"/>
              </w:rPr>
              <w:t>表</w:t>
            </w:r>
            <w:r>
              <w:rPr>
                <w:rFonts w:hint="default" w:ascii="Times New Roman" w:hAnsi="Times New Roman" w:eastAsia="宋体" w:cs="Times New Roman"/>
                <w:b/>
                <w:i w:val="0"/>
                <w:color w:val="000000"/>
                <w:kern w:val="0"/>
                <w:sz w:val="20"/>
                <w:szCs w:val="20"/>
                <w:highlight w:val="none"/>
                <w:u w:val="none"/>
                <w:lang w:val="en-US" w:eastAsia="zh-CN" w:bidi="ar"/>
              </w:rPr>
              <w:t>(分地区、项目)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8" w:hRule="atLeast"/>
        </w:trPr>
        <w:tc>
          <w:tcPr>
            <w:tcW w:w="2896" w:type="dxa"/>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1270" w:type="dxa"/>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1182" w:type="dxa"/>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b/>
                <w:i w:val="0"/>
                <w:color w:val="000000"/>
                <w:sz w:val="20"/>
                <w:szCs w:val="20"/>
                <w:highlight w:val="none"/>
                <w:u w:val="none"/>
              </w:rPr>
            </w:pPr>
          </w:p>
        </w:tc>
        <w:tc>
          <w:tcPr>
            <w:tcW w:w="1182" w:type="dxa"/>
            <w:gridSpan w:val="3"/>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b/>
                <w:i w:val="0"/>
                <w:color w:val="000000"/>
                <w:sz w:val="20"/>
                <w:szCs w:val="20"/>
                <w:highlight w:val="none"/>
                <w:u w:val="none"/>
              </w:rPr>
            </w:pPr>
          </w:p>
        </w:tc>
        <w:tc>
          <w:tcPr>
            <w:tcW w:w="1182" w:type="dxa"/>
            <w:gridSpan w:val="3"/>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sz w:val="20"/>
                <w:szCs w:val="20"/>
                <w:highlight w:val="none"/>
                <w:u w:val="none"/>
              </w:rPr>
            </w:pPr>
          </w:p>
        </w:tc>
        <w:tc>
          <w:tcPr>
            <w:tcW w:w="1184" w:type="dxa"/>
            <w:gridSpan w:val="2"/>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lang w:val="en-US"/>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返还性支出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所得税基数返还支出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增值税税收返还支出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消费税税收返还支出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一般性转移支付支出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体制补助支出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均衡性转移支付支出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县级基本财力保障机制奖补资金支出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结算补助支出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 计</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bl>
    <w:p>
      <w:pPr>
        <w:pStyle w:val="10"/>
        <w:ind w:firstLine="400" w:firstLineChars="200"/>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b w:val="0"/>
          <w:bCs/>
          <w:i w:val="0"/>
          <w:color w:val="000000"/>
          <w:kern w:val="0"/>
          <w:sz w:val="20"/>
          <w:szCs w:val="20"/>
          <w:highlight w:val="none"/>
          <w:u w:val="none"/>
          <w:lang w:val="en-US" w:eastAsia="zh-CN" w:bidi="ar"/>
        </w:rPr>
        <w:t>因2026年策勒县无对下安排转移支付，此表为空。</w:t>
      </w:r>
    </w:p>
    <w:p>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p>
    <w:p>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二、政府性基金预算</w:t>
      </w:r>
      <w:r>
        <w:rPr>
          <w:rFonts w:hint="default" w:ascii="Times New Roman" w:hAnsi="Times New Roman" w:eastAsia="楷体_GB2312" w:cs="Times New Roman"/>
          <w:b/>
          <w:bCs w:val="0"/>
          <w:kern w:val="0"/>
          <w:sz w:val="32"/>
          <w:szCs w:val="32"/>
          <w:highlight w:val="none"/>
          <w:lang w:val="en-US" w:eastAsia="zh-CN"/>
        </w:rPr>
        <w:t>公开表</w:t>
      </w:r>
    </w:p>
    <w:p>
      <w:pPr>
        <w:rPr>
          <w:rFonts w:hint="default" w:ascii="Times New Roman" w:hAnsi="Times New Roman" w:cs="Times New Roman"/>
          <w:highlight w:val="none"/>
        </w:rPr>
      </w:pPr>
    </w:p>
    <w:tbl>
      <w:tblPr>
        <w:tblStyle w:val="12"/>
        <w:tblW w:w="83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14"/>
        <w:gridCol w:w="3721"/>
        <w:gridCol w:w="1263"/>
        <w:gridCol w:w="1260"/>
        <w:gridCol w:w="3"/>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表9</w:t>
            </w:r>
          </w:p>
        </w:tc>
        <w:tc>
          <w:tcPr>
            <w:tcW w:w="3721"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26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26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273" w:type="dxa"/>
            <w:gridSpan w:val="2"/>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331" w:type="dxa"/>
            <w:gridSpan w:val="6"/>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政府性基金收入表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72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6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63"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7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1030129</w:t>
            </w:r>
          </w:p>
        </w:tc>
        <w:tc>
          <w:tcPr>
            <w:tcW w:w="3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一、国家电影事业发展专项资金收入</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1030148</w:t>
            </w:r>
          </w:p>
        </w:tc>
        <w:tc>
          <w:tcPr>
            <w:tcW w:w="3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二、国有土地使用权出让收入</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2409</w:t>
            </w: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2644</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1030146</w:t>
            </w:r>
          </w:p>
        </w:tc>
        <w:tc>
          <w:tcPr>
            <w:tcW w:w="3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三、国有土地收益基金收入</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1030147</w:t>
            </w:r>
          </w:p>
        </w:tc>
        <w:tc>
          <w:tcPr>
            <w:tcW w:w="3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四、农业土地开发资金收入</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1030156</w:t>
            </w:r>
          </w:p>
        </w:tc>
        <w:tc>
          <w:tcPr>
            <w:tcW w:w="3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五、城市基础设施配套费收入</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322</w:t>
            </w: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354</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1030178</w:t>
            </w:r>
          </w:p>
        </w:tc>
        <w:tc>
          <w:tcPr>
            <w:tcW w:w="3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六、污水处理费收入</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531</w:t>
            </w: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584</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1031099</w:t>
            </w:r>
          </w:p>
        </w:tc>
        <w:tc>
          <w:tcPr>
            <w:tcW w:w="37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1105"/>
              </w:tabs>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val="en-US" w:eastAsia="zh-CN"/>
              </w:rPr>
              <w:t>七、</w:t>
            </w:r>
            <w:r>
              <w:rPr>
                <w:rFonts w:hint="default" w:ascii="Times New Roman" w:hAnsi="Times New Roman" w:cs="Times New Roman"/>
                <w:i w:val="0"/>
                <w:color w:val="000000"/>
                <w:sz w:val="20"/>
                <w:szCs w:val="20"/>
                <w:highlight w:val="none"/>
                <w:u w:val="none"/>
                <w:lang w:eastAsia="zh-CN"/>
              </w:rPr>
              <w:t>专项债券对应项目专项收入</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919</w:t>
            </w: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9189</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453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政府性基金收入合计</w:t>
            </w:r>
          </w:p>
        </w:tc>
        <w:tc>
          <w:tcPr>
            <w:tcW w:w="12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4181</w:t>
            </w:r>
          </w:p>
        </w:tc>
        <w:tc>
          <w:tcPr>
            <w:tcW w:w="126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12771</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305.5%</w:t>
            </w:r>
          </w:p>
        </w:tc>
      </w:tr>
    </w:tbl>
    <w:p>
      <w:pPr>
        <w:jc w:val="both"/>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p>
      <w:pPr>
        <w:jc w:val="both"/>
        <w:rPr>
          <w:rFonts w:hint="default" w:ascii="Times New Roman" w:hAnsi="Times New Roman" w:cs="Times New Roman"/>
          <w:b/>
          <w:bCs/>
          <w:sz w:val="24"/>
          <w:szCs w:val="24"/>
          <w:highlight w:val="none"/>
          <w:lang w:val="en-US" w:eastAsia="zh-Hans"/>
        </w:rPr>
      </w:pPr>
    </w:p>
    <w:p>
      <w:pPr>
        <w:jc w:val="center"/>
        <w:rPr>
          <w:rFonts w:hint="default" w:ascii="Times New Roman" w:hAnsi="Times New Roman" w:cs="Times New Roman"/>
          <w:b/>
          <w:bCs/>
          <w:sz w:val="24"/>
          <w:szCs w:val="24"/>
          <w:highlight w:val="none"/>
          <w:lang w:val="en-US" w:eastAsia="zh-Hans"/>
        </w:rPr>
      </w:pPr>
    </w:p>
    <w:tbl>
      <w:tblPr>
        <w:tblStyle w:val="12"/>
        <w:tblW w:w="8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86"/>
        <w:gridCol w:w="4055"/>
        <w:gridCol w:w="1351"/>
        <w:gridCol w:w="1351"/>
        <w:gridCol w:w="1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886"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表10</w:t>
            </w:r>
          </w:p>
        </w:tc>
        <w:tc>
          <w:tcPr>
            <w:tcW w:w="4055"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351"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351"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352"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995"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政府性基金支出表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05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2"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207</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一、文化旅游体育与传媒支出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2070</w:t>
            </w:r>
            <w:r>
              <w:rPr>
                <w:rFonts w:hint="default" w:ascii="Times New Roman" w:hAnsi="Times New Roman" w:cs="Times New Roman"/>
                <w:i w:val="0"/>
                <w:color w:val="000000"/>
                <w:kern w:val="0"/>
                <w:sz w:val="20"/>
                <w:szCs w:val="20"/>
                <w:highlight w:val="none"/>
                <w:u w:val="none"/>
                <w:lang w:val="en-US" w:eastAsia="zh-CN" w:bidi="ar"/>
              </w:rPr>
              <w:t>9</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地方旅游开发项目补助</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212</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二、城乡社区支出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17403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19482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21208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国有土地使用权出让收入安排的支出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2432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21213</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其他城市基础设施配套费安排的支出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cs="Times New Roman"/>
                <w:i w:val="0"/>
                <w:color w:val="000000"/>
                <w:sz w:val="20"/>
                <w:szCs w:val="20"/>
                <w:highlight w:val="none"/>
                <w:u w:val="none"/>
                <w:lang w:val="en-US" w:eastAsia="zh-CN"/>
              </w:rPr>
            </w:pP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450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21214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污水处理费安排的支出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21298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 xml:space="preserve"> 超长期特别国债安排的支出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15881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16000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三、农林水</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2509</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21372</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601"/>
              </w:tabs>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 xml:space="preserve"> 大中型水库移民后期扶持基金支出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21398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超长期特别国债安排的支出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2458</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w:t>
            </w:r>
            <w:r>
              <w:rPr>
                <w:rFonts w:hint="default" w:ascii="Times New Roman" w:hAnsi="Times New Roman" w:cs="Times New Roman"/>
                <w:i w:val="0"/>
                <w:color w:val="000000"/>
                <w:sz w:val="20"/>
                <w:szCs w:val="20"/>
                <w:highlight w:val="none"/>
                <w:u w:val="none"/>
                <w:lang w:val="en-US" w:eastAsia="zh-CN"/>
              </w:rPr>
              <w:t>四、</w:t>
            </w:r>
            <w:r>
              <w:rPr>
                <w:rFonts w:hint="default" w:ascii="Times New Roman" w:hAnsi="Times New Roman" w:cs="Times New Roman"/>
                <w:i w:val="0"/>
                <w:color w:val="000000"/>
                <w:sz w:val="20"/>
                <w:szCs w:val="20"/>
                <w:highlight w:val="none"/>
                <w:u w:val="none"/>
              </w:rPr>
              <w:t>交通运输支出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10724</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3866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21498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超长期特别国债安排的支出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10724</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3866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215</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五、</w:t>
            </w:r>
            <w:r>
              <w:rPr>
                <w:rFonts w:hint="default" w:ascii="Times New Roman" w:hAnsi="Times New Roman" w:cs="Times New Roman"/>
                <w:i w:val="0"/>
                <w:color w:val="000000"/>
                <w:sz w:val="20"/>
                <w:szCs w:val="20"/>
                <w:highlight w:val="none"/>
                <w:u w:val="none"/>
              </w:rPr>
              <w:t>资源勘探工业信息等支出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295</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21598</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超长期特别国债安排的支出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295</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220</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六、</w:t>
            </w:r>
            <w:r>
              <w:rPr>
                <w:rFonts w:hint="default" w:ascii="Times New Roman" w:hAnsi="Times New Roman" w:cs="Times New Roman"/>
                <w:i w:val="0"/>
                <w:color w:val="000000"/>
                <w:sz w:val="20"/>
                <w:szCs w:val="20"/>
                <w:highlight w:val="none"/>
                <w:u w:val="none"/>
              </w:rPr>
              <w:t>自然资源海洋气象等支出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22006</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耕地保护考核奖惩基金支出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w:t>
            </w:r>
            <w:r>
              <w:rPr>
                <w:rFonts w:hint="default" w:ascii="Times New Roman" w:hAnsi="Times New Roman" w:cs="Times New Roman"/>
                <w:i w:val="0"/>
                <w:color w:val="000000"/>
                <w:sz w:val="20"/>
                <w:szCs w:val="20"/>
                <w:highlight w:val="none"/>
                <w:u w:val="none"/>
                <w:lang w:val="en-US" w:eastAsia="zh-CN"/>
              </w:rPr>
              <w:t>七、</w:t>
            </w:r>
            <w:r>
              <w:rPr>
                <w:rFonts w:hint="default" w:ascii="Times New Roman" w:hAnsi="Times New Roman" w:cs="Times New Roman"/>
                <w:i w:val="0"/>
                <w:color w:val="000000"/>
                <w:sz w:val="20"/>
                <w:szCs w:val="20"/>
                <w:highlight w:val="none"/>
                <w:u w:val="none"/>
              </w:rPr>
              <w:t>其他支出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35904</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70696</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22904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其他政府性基金及对应专项债务收入安排的支出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35288</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69932</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.彩票公益金安排的支出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616</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764</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232</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tabs>
                <w:tab w:val="left" w:pos="634"/>
              </w:tabs>
              <w:jc w:val="left"/>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八、债务付息支出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7423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9189</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23204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tabs>
                <w:tab w:val="left" w:pos="484"/>
              </w:tabs>
              <w:jc w:val="left"/>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地方政府专项债务付息支出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7423</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9189</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tabs>
                <w:tab w:val="left" w:pos="317"/>
              </w:tabs>
              <w:jc w:val="left"/>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 xml:space="preserve"> 九、债务发行费用支出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23304</w:t>
            </w: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tabs>
                <w:tab w:val="left" w:pos="767"/>
              </w:tabs>
              <w:jc w:val="left"/>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地方政府专项债务发行费用支出</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0" w:hRule="atLeast"/>
        </w:trPr>
        <w:tc>
          <w:tcPr>
            <w:tcW w:w="88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0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政府性基金支出合计</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74411</w:t>
            </w:r>
          </w:p>
        </w:tc>
        <w:tc>
          <w:tcPr>
            <w:tcW w:w="135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103645</w:t>
            </w:r>
          </w:p>
        </w:tc>
        <w:tc>
          <w:tcPr>
            <w:tcW w:w="13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139.3%</w:t>
            </w:r>
          </w:p>
        </w:tc>
      </w:tr>
    </w:tbl>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p>
      <w:pPr>
        <w:jc w:val="both"/>
        <w:rPr>
          <w:rFonts w:hint="default" w:ascii="Times New Roman" w:hAnsi="Times New Roman" w:eastAsia="宋体" w:cs="Times New Roman"/>
          <w:b/>
          <w:bCs/>
          <w:sz w:val="24"/>
          <w:szCs w:val="24"/>
          <w:highlight w:val="none"/>
          <w:lang w:val="en-US" w:eastAsia="zh-CN"/>
        </w:rPr>
      </w:pPr>
    </w:p>
    <w:tbl>
      <w:tblPr>
        <w:tblStyle w:val="12"/>
        <w:tblW w:w="89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05"/>
        <w:gridCol w:w="4051"/>
        <w:gridCol w:w="1333"/>
        <w:gridCol w:w="127"/>
        <w:gridCol w:w="1206"/>
        <w:gridCol w:w="194"/>
        <w:gridCol w:w="11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905"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表11</w:t>
            </w:r>
          </w:p>
        </w:tc>
        <w:tc>
          <w:tcPr>
            <w:tcW w:w="4051"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460"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400"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140"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956" w:type="dxa"/>
            <w:gridSpan w:val="7"/>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本级政府性基金收入表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05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3"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4"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0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3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1030129</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一、国家电影事业发展专项资金收入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1030148</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二、国有土地使用权出让收入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2409</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2644</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1030146</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三、国有土地收益基金收入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1030147</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四、农业土地开发资金收入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1030156</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五、城市基础设施配套费收入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322</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354</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1030178</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六、污水处理费收入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531</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584</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1031099</w:t>
            </w:r>
          </w:p>
        </w:tc>
        <w:tc>
          <w:tcPr>
            <w:tcW w:w="40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tabs>
                <w:tab w:val="left" w:pos="1105"/>
              </w:tabs>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七、</w:t>
            </w:r>
            <w:r>
              <w:rPr>
                <w:rFonts w:hint="default" w:ascii="Times New Roman" w:hAnsi="Times New Roman" w:cs="Times New Roman"/>
                <w:i w:val="0"/>
                <w:color w:val="000000"/>
                <w:sz w:val="20"/>
                <w:szCs w:val="20"/>
                <w:highlight w:val="none"/>
                <w:u w:val="none"/>
                <w:lang w:eastAsia="zh-CN"/>
              </w:rPr>
              <w:t>专项债券对应项目专项收入</w:t>
            </w:r>
          </w:p>
        </w:tc>
        <w:tc>
          <w:tcPr>
            <w:tcW w:w="13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919</w:t>
            </w:r>
          </w:p>
        </w:tc>
        <w:tc>
          <w:tcPr>
            <w:tcW w:w="1333"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9189</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50" w:hRule="atLeast"/>
        </w:trPr>
        <w:tc>
          <w:tcPr>
            <w:tcW w:w="495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政府性基金收入合计</w:t>
            </w:r>
          </w:p>
        </w:tc>
        <w:tc>
          <w:tcPr>
            <w:tcW w:w="133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4181</w:t>
            </w:r>
          </w:p>
        </w:tc>
        <w:tc>
          <w:tcPr>
            <w:tcW w:w="133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12771</w:t>
            </w:r>
          </w:p>
        </w:tc>
        <w:tc>
          <w:tcPr>
            <w:tcW w:w="133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305.5%</w:t>
            </w:r>
          </w:p>
        </w:tc>
      </w:tr>
    </w:tbl>
    <w:p>
      <w:pPr>
        <w:jc w:val="both"/>
        <w:rPr>
          <w:rFonts w:hint="default" w:ascii="Times New Roman" w:hAnsi="Times New Roman" w:cs="Times New Roman"/>
          <w:b w:val="0"/>
          <w:bCs w:val="0"/>
          <w:highlight w:val="none"/>
          <w:lang w:val="en-US" w:eastAsia="zh-Hans"/>
        </w:rPr>
      </w:pPr>
    </w:p>
    <w:p>
      <w:pPr>
        <w:jc w:val="both"/>
        <w:rPr>
          <w:rFonts w:hint="default" w:ascii="Times New Roman" w:hAnsi="Times New Roman" w:cs="Times New Roman"/>
          <w:b w:val="0"/>
          <w:bCs w:val="0"/>
          <w:highlight w:val="none"/>
          <w:lang w:val="en-US" w:eastAsia="zh-Hans"/>
        </w:rPr>
      </w:pPr>
    </w:p>
    <w:tbl>
      <w:tblPr>
        <w:tblStyle w:val="12"/>
        <w:tblW w:w="89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23"/>
        <w:gridCol w:w="4023"/>
        <w:gridCol w:w="1470"/>
        <w:gridCol w:w="1390"/>
        <w:gridCol w:w="1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表12</w:t>
            </w:r>
          </w:p>
        </w:tc>
        <w:tc>
          <w:tcPr>
            <w:tcW w:w="402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39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130" w:type="dxa"/>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936"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本级政府性基金支出表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02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9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3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0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207</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一、文化旅游体育与传媒支出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697.7%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2070</w:t>
            </w:r>
            <w:r>
              <w:rPr>
                <w:rFonts w:hint="default" w:ascii="Times New Roman" w:hAnsi="Times New Roman" w:cs="Times New Roman"/>
                <w:i w:val="0"/>
                <w:color w:val="000000"/>
                <w:kern w:val="0"/>
                <w:sz w:val="20"/>
                <w:szCs w:val="20"/>
                <w:highlight w:val="none"/>
                <w:u w:val="none"/>
                <w:lang w:val="en-US" w:eastAsia="zh-CN" w:bidi="ar"/>
              </w:rPr>
              <w:t>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地方旅游开发项目补助</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697.7%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2070904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地方旅游开发项目补助</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43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212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二、城乡社区支出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17403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19482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0"/>
                <w:sz w:val="20"/>
                <w:szCs w:val="20"/>
                <w:highlight w:val="none"/>
                <w:u w:val="none"/>
                <w:lang w:val="en-US" w:eastAsia="zh-CN" w:bidi="ar"/>
              </w:rPr>
              <w:t>21208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 xml:space="preserve"> 国有土地使用权出让收入安排的支出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991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2432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征地和拆迁补偿支出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541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908</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tabs>
                <w:tab w:val="left" w:pos="1247"/>
              </w:tabs>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土地开发支出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111</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tabs>
                <w:tab w:val="left" w:pos="747"/>
              </w:tabs>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农村基础设施建设支出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142</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131</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2120806</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土地出让业务支出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35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285.7%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2120814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农业生产发展支出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181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2120899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其他国有土地使用权出让收入安排的支出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21213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其他城市基础设施配套费安排的支出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450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2121399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其他城市基础设施配套费安排的支出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450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21214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污水处理费安排的支出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531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2121401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sz w:val="20"/>
                <w:szCs w:val="20"/>
                <w:highlight w:val="none"/>
                <w:u w:val="none"/>
              </w:rPr>
              <w:t>污水处理设施建设和运营</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 xml:space="preserve"> 超长期特别国债安排的支出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15881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16000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2129801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城乡社区公共设施</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15881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16000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三、农林水</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21372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tabs>
                <w:tab w:val="left" w:pos="601"/>
              </w:tabs>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eastAsia="zh-CN"/>
              </w:rPr>
              <w:t xml:space="preserve"> 大中型水库移民后期扶持基金支出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2137201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移民补助</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2137202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基础设施建设和经济发展</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2137299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其他大中型水库移民后期扶持基金支出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21398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超长期特别国债安排的支出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2458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2139802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水利支出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2458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w:t>
            </w:r>
            <w:r>
              <w:rPr>
                <w:rFonts w:hint="default" w:ascii="Times New Roman" w:hAnsi="Times New Roman" w:cs="Times New Roman"/>
                <w:i w:val="0"/>
                <w:color w:val="000000"/>
                <w:sz w:val="20"/>
                <w:szCs w:val="20"/>
                <w:highlight w:val="none"/>
                <w:u w:val="none"/>
                <w:lang w:val="en-US" w:eastAsia="zh-CN"/>
              </w:rPr>
              <w:t>四、</w:t>
            </w:r>
            <w:r>
              <w:rPr>
                <w:rFonts w:hint="default" w:ascii="Times New Roman" w:hAnsi="Times New Roman" w:cs="Times New Roman"/>
                <w:i w:val="0"/>
                <w:color w:val="000000"/>
                <w:sz w:val="20"/>
                <w:szCs w:val="20"/>
                <w:highlight w:val="none"/>
                <w:u w:val="none"/>
              </w:rPr>
              <w:t>交通运输支出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10724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3866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21498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超长期特别国债安排的支出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10724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3866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2149803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rPr>
            </w:pPr>
            <w:r>
              <w:rPr>
                <w:rFonts w:hint="default" w:ascii="Times New Roman" w:hAnsi="Times New Roman" w:cs="Times New Roman"/>
                <w:i w:val="0"/>
                <w:color w:val="000000"/>
                <w:sz w:val="20"/>
                <w:szCs w:val="20"/>
                <w:highlight w:val="none"/>
                <w:u w:val="none"/>
                <w:lang w:val="en-US"/>
              </w:rPr>
              <w:t xml:space="preserve"> 民用航空运输</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10724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3866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215</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五、</w:t>
            </w:r>
            <w:r>
              <w:rPr>
                <w:rFonts w:hint="default" w:ascii="Times New Roman" w:hAnsi="Times New Roman" w:cs="Times New Roman"/>
                <w:i w:val="0"/>
                <w:color w:val="000000"/>
                <w:sz w:val="20"/>
                <w:szCs w:val="20"/>
                <w:highlight w:val="none"/>
                <w:u w:val="none"/>
              </w:rPr>
              <w:t>资源勘探工业信息等支出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21598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超长期特别国债安排的支出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2159802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制造业</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295</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220</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六、</w:t>
            </w:r>
            <w:r>
              <w:rPr>
                <w:rFonts w:hint="default" w:ascii="Times New Roman" w:hAnsi="Times New Roman" w:cs="Times New Roman"/>
                <w:i w:val="0"/>
                <w:color w:val="000000"/>
                <w:sz w:val="20"/>
                <w:szCs w:val="20"/>
                <w:highlight w:val="none"/>
                <w:u w:val="none"/>
              </w:rPr>
              <w:t>自然资源海洋气象等支出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22006</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耕地保护考核奖惩基金支出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2200601</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耕地保护</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 xml:space="preserve"> </w:t>
            </w:r>
            <w:r>
              <w:rPr>
                <w:rFonts w:hint="default" w:ascii="Times New Roman" w:hAnsi="Times New Roman" w:cs="Times New Roman"/>
                <w:i w:val="0"/>
                <w:color w:val="000000"/>
                <w:sz w:val="20"/>
                <w:szCs w:val="20"/>
                <w:highlight w:val="none"/>
                <w:u w:val="none"/>
                <w:lang w:val="en-US" w:eastAsia="zh-CN"/>
              </w:rPr>
              <w:t>七、</w:t>
            </w:r>
            <w:r>
              <w:rPr>
                <w:rFonts w:hint="default" w:ascii="Times New Roman" w:hAnsi="Times New Roman" w:cs="Times New Roman"/>
                <w:i w:val="0"/>
                <w:color w:val="000000"/>
                <w:sz w:val="20"/>
                <w:szCs w:val="20"/>
                <w:highlight w:val="none"/>
                <w:u w:val="none"/>
              </w:rPr>
              <w:t>其他支出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35904</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70696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22904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其他政府性基金及对应专项债务收入安排的支出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35288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69932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198.2%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2290402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 xml:space="preserve">  其他地方自行试点项目收益专项债券收入安排的支出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4288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69932</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1630.9%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2290403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其他政府性基金债务收入安排的支出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31000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22960</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rPr>
              <w:t>.彩票公益金安排的支出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616</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764</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2296002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用于社会福利的彩票公益金支出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368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260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2296003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用于体育事业的彩票公益金支出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用于教育事业的彩票公益金支出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cs="Times New Roman"/>
                <w:i w:val="0"/>
                <w:color w:val="000000"/>
                <w:sz w:val="20"/>
                <w:szCs w:val="20"/>
                <w:highlight w:val="none"/>
                <w:u w:val="none"/>
                <w:lang w:val="en-US" w:eastAsia="zh-CN"/>
              </w:rPr>
            </w:pP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2296006</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用于残疾人事业的彩票公益金支出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2296010</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用于文化事业的彩票公益金支出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108</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2296013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用于城乡医疗救助的彩票公益金支出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80</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96</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2296099</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用于其他社会公益事业的彩票公益金支出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334</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232</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八、债务付息支出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7423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9189</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23204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地方政府专项债务付息支出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7423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9189</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2320498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其他地方自行试点项目收益专项债券付息支出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7423</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9189</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123.8%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233</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 xml:space="preserve"> 九、债务发行费用支出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23304</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地方政府专项债务发行费用支出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2330498</w:t>
            </w: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其他地方自行试点项目收益专项债券发行费用支出</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9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p>
        </w:tc>
        <w:tc>
          <w:tcPr>
            <w:tcW w:w="402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合计</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74411</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103645</w:t>
            </w:r>
          </w:p>
        </w:tc>
        <w:tc>
          <w:tcPr>
            <w:tcW w:w="113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139.3%</w:t>
            </w:r>
          </w:p>
        </w:tc>
      </w:tr>
    </w:tbl>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tbl>
      <w:tblPr>
        <w:tblStyle w:val="12"/>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6"/>
        <w:gridCol w:w="1550"/>
        <w:gridCol w:w="1300"/>
        <w:gridCol w:w="140"/>
        <w:gridCol w:w="1160"/>
        <w:gridCol w:w="10"/>
        <w:gridCol w:w="1290"/>
        <w:gridCol w:w="1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2346"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表13</w:t>
            </w:r>
          </w:p>
        </w:tc>
        <w:tc>
          <w:tcPr>
            <w:tcW w:w="155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440"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170"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29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150"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8946" w:type="dxa"/>
            <w:gridSpan w:val="8"/>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eastAsia="zh-CN" w:bidi="ar"/>
              </w:rPr>
            </w:pPr>
            <w:r>
              <w:rPr>
                <w:rFonts w:hint="default" w:ascii="Times New Roman" w:hAnsi="Times New Roman" w:cs="Times New Roman"/>
                <w:b/>
                <w:bCs/>
                <w:i w:val="0"/>
                <w:color w:val="000000"/>
                <w:kern w:val="0"/>
                <w:sz w:val="20"/>
                <w:szCs w:val="20"/>
                <w:highlight w:val="none"/>
                <w:u w:val="none"/>
                <w:lang w:eastAsia="zh-CN" w:bidi="ar"/>
              </w:rPr>
              <w:t>2026</w:t>
            </w:r>
            <w:r>
              <w:rPr>
                <w:rFonts w:hint="default" w:ascii="Times New Roman" w:hAnsi="Times New Roman" w:cs="Times New Roman"/>
                <w:b/>
                <w:bCs/>
                <w:i w:val="0"/>
                <w:color w:val="000000"/>
                <w:kern w:val="0"/>
                <w:sz w:val="20"/>
                <w:szCs w:val="20"/>
                <w:highlight w:val="none"/>
                <w:u w:val="none"/>
                <w:lang w:val="en-US" w:eastAsia="zh-Hans" w:bidi="ar"/>
              </w:rPr>
              <w:t>年</w:t>
            </w:r>
            <w:r>
              <w:rPr>
                <w:rFonts w:hint="default" w:ascii="Times New Roman" w:hAnsi="Times New Roman" w:cs="Times New Roman"/>
                <w:b/>
                <w:bCs/>
                <w:i w:val="0"/>
                <w:color w:val="000000"/>
                <w:kern w:val="0"/>
                <w:sz w:val="20"/>
                <w:szCs w:val="20"/>
                <w:highlight w:val="none"/>
                <w:u w:val="none"/>
                <w:lang w:eastAsia="zh-CN" w:bidi="ar"/>
              </w:rPr>
              <w:t>策勒县</w:t>
            </w:r>
            <w:r>
              <w:rPr>
                <w:rFonts w:hint="default" w:ascii="Times New Roman" w:hAnsi="Times New Roman" w:cs="Times New Roman"/>
                <w:b/>
                <w:bCs/>
                <w:i w:val="0"/>
                <w:color w:val="000000"/>
                <w:kern w:val="0"/>
                <w:sz w:val="20"/>
                <w:szCs w:val="20"/>
                <w:highlight w:val="none"/>
                <w:u w:val="none"/>
                <w:lang w:val="en-US" w:eastAsia="zh-CN" w:bidi="ar"/>
              </w:rPr>
              <w:t>政府性基金预算</w:t>
            </w:r>
            <w:r>
              <w:rPr>
                <w:rFonts w:hint="default" w:ascii="Times New Roman" w:hAnsi="Times New Roman" w:cs="Times New Roman"/>
                <w:b/>
                <w:bCs/>
                <w:i w:val="0"/>
                <w:color w:val="000000"/>
                <w:kern w:val="0"/>
                <w:sz w:val="20"/>
                <w:szCs w:val="20"/>
                <w:highlight w:val="none"/>
                <w:u w:val="none"/>
                <w:lang w:val="en-US" w:eastAsia="zh-Hans" w:bidi="ar"/>
              </w:rPr>
              <w:t>对下转移支付安排情况</w:t>
            </w:r>
            <w:r>
              <w:rPr>
                <w:rFonts w:hint="default" w:ascii="Times New Roman" w:hAnsi="Times New Roman" w:cs="Times New Roman"/>
                <w:b/>
                <w:bCs/>
                <w:i w:val="0"/>
                <w:color w:val="000000"/>
                <w:kern w:val="0"/>
                <w:sz w:val="20"/>
                <w:szCs w:val="20"/>
                <w:highlight w:val="none"/>
                <w:u w:val="none"/>
                <w:lang w:val="en-US" w:eastAsia="zh-CN" w:bidi="ar"/>
              </w:rPr>
              <w:t>表</w:t>
            </w:r>
            <w:r>
              <w:rPr>
                <w:rFonts w:hint="default" w:ascii="Times New Roman" w:hAnsi="Times New Roman" w:cs="Times New Roman"/>
                <w:b/>
                <w:bCs/>
                <w:i w:val="0"/>
                <w:color w:val="000000"/>
                <w:kern w:val="0"/>
                <w:sz w:val="20"/>
                <w:szCs w:val="20"/>
                <w:highlight w:val="none"/>
                <w:u w:val="none"/>
                <w:lang w:val="en-US" w:eastAsia="zh-Hans" w:bidi="ar"/>
              </w:rPr>
              <w:t>（</w:t>
            </w:r>
            <w:r>
              <w:rPr>
                <w:rFonts w:hint="default" w:ascii="Times New Roman" w:hAnsi="Times New Roman" w:eastAsia="宋体" w:cs="Times New Roman"/>
                <w:b/>
                <w:bCs/>
                <w:i w:val="0"/>
                <w:color w:val="000000"/>
                <w:kern w:val="0"/>
                <w:sz w:val="20"/>
                <w:szCs w:val="20"/>
                <w:highlight w:val="none"/>
                <w:u w:val="none"/>
                <w:lang w:val="en-US" w:eastAsia="zh-CN" w:bidi="ar"/>
              </w:rPr>
              <w:t>分地区、项目</w:t>
            </w:r>
            <w:r>
              <w:rPr>
                <w:rFonts w:hint="default" w:ascii="Times New Roman" w:hAnsi="Times New Roman" w:cs="Times New Roman"/>
                <w:b/>
                <w:bCs/>
                <w:i w:val="0"/>
                <w:color w:val="000000"/>
                <w:kern w:val="0"/>
                <w:sz w:val="20"/>
                <w:szCs w:val="20"/>
                <w:highlight w:val="none"/>
                <w:u w:val="none"/>
                <w:lang w:val="en-US" w:eastAsia="zh-Hans"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4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5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40"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70"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9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5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单位：万元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项目名称</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政府性基金转移支付</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rPr>
              <w:t>.....</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p>
        </w:tc>
      </w:tr>
    </w:tbl>
    <w:p>
      <w:pPr>
        <w:pStyle w:val="10"/>
        <w:ind w:firstLine="400" w:firstLineChars="200"/>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b w:val="0"/>
          <w:bCs/>
          <w:i w:val="0"/>
          <w:color w:val="000000"/>
          <w:kern w:val="0"/>
          <w:sz w:val="20"/>
          <w:szCs w:val="20"/>
          <w:highlight w:val="none"/>
          <w:u w:val="none"/>
          <w:lang w:val="en-US" w:eastAsia="zh-CN" w:bidi="ar"/>
        </w:rPr>
        <w:t>因2026年策勒县无对下安排转移支付，此表为空。</w:t>
      </w: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pPr>
    </w:p>
    <w:p>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CN"/>
        </w:rPr>
        <w:t>三、</w:t>
      </w:r>
      <w:r>
        <w:rPr>
          <w:rFonts w:hint="default" w:ascii="Times New Roman" w:hAnsi="Times New Roman" w:eastAsia="楷体_GB2312" w:cs="Times New Roman"/>
          <w:b/>
          <w:bCs w:val="0"/>
          <w:kern w:val="0"/>
          <w:sz w:val="32"/>
          <w:szCs w:val="32"/>
          <w:highlight w:val="none"/>
          <w:lang w:val="en-US" w:eastAsia="zh-Hans"/>
        </w:rPr>
        <w:t>国有资本经营预算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12"/>
        <w:tblpPr w:leftFromText="180" w:rightFromText="180" w:vertAnchor="text" w:horzAnchor="page" w:tblpX="1102" w:tblpY="556"/>
        <w:tblOverlap w:val="never"/>
        <w:tblW w:w="101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60"/>
        <w:gridCol w:w="448"/>
        <w:gridCol w:w="671"/>
        <w:gridCol w:w="519"/>
        <w:gridCol w:w="402"/>
        <w:gridCol w:w="660"/>
        <w:gridCol w:w="1118"/>
        <w:gridCol w:w="1464"/>
        <w:gridCol w:w="323"/>
        <w:gridCol w:w="534"/>
        <w:gridCol w:w="519"/>
        <w:gridCol w:w="426"/>
        <w:gridCol w:w="771"/>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60"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14</w:t>
            </w:r>
          </w:p>
        </w:tc>
        <w:tc>
          <w:tcPr>
            <w:tcW w:w="448" w:type="dxa"/>
            <w:noWrap w:val="0"/>
            <w:vAlign w:val="bottom"/>
          </w:tcPr>
          <w:p>
            <w:pPr>
              <w:rPr>
                <w:rFonts w:hint="default" w:ascii="Times New Roman" w:hAnsi="Times New Roman" w:cs="Times New Roman"/>
                <w:i w:val="0"/>
                <w:color w:val="000000"/>
                <w:sz w:val="20"/>
                <w:szCs w:val="20"/>
                <w:highlight w:val="none"/>
                <w:u w:val="none"/>
              </w:rPr>
            </w:pPr>
          </w:p>
        </w:tc>
        <w:tc>
          <w:tcPr>
            <w:tcW w:w="671" w:type="dxa"/>
            <w:noWrap w:val="0"/>
            <w:vAlign w:val="bottom"/>
          </w:tcPr>
          <w:p>
            <w:pPr>
              <w:rPr>
                <w:rFonts w:hint="default" w:ascii="Times New Roman" w:hAnsi="Times New Roman" w:cs="Times New Roman"/>
                <w:i w:val="0"/>
                <w:color w:val="000000"/>
                <w:sz w:val="20"/>
                <w:szCs w:val="20"/>
                <w:highlight w:val="none"/>
                <w:u w:val="none"/>
              </w:rPr>
            </w:pPr>
          </w:p>
        </w:tc>
        <w:tc>
          <w:tcPr>
            <w:tcW w:w="519" w:type="dxa"/>
            <w:noWrap w:val="0"/>
            <w:vAlign w:val="bottom"/>
          </w:tcPr>
          <w:p>
            <w:pPr>
              <w:rPr>
                <w:rFonts w:hint="default" w:ascii="Times New Roman" w:hAnsi="Times New Roman" w:cs="Times New Roman"/>
                <w:i w:val="0"/>
                <w:color w:val="000000"/>
                <w:sz w:val="20"/>
                <w:szCs w:val="20"/>
                <w:highlight w:val="none"/>
                <w:u w:val="none"/>
              </w:rPr>
            </w:pPr>
          </w:p>
        </w:tc>
        <w:tc>
          <w:tcPr>
            <w:tcW w:w="402" w:type="dxa"/>
            <w:noWrap w:val="0"/>
            <w:vAlign w:val="bottom"/>
          </w:tcPr>
          <w:p>
            <w:pPr>
              <w:rPr>
                <w:rFonts w:hint="default" w:ascii="Times New Roman" w:hAnsi="Times New Roman" w:cs="Times New Roman"/>
                <w:i w:val="0"/>
                <w:color w:val="000000"/>
                <w:sz w:val="20"/>
                <w:szCs w:val="20"/>
                <w:highlight w:val="none"/>
                <w:u w:val="none"/>
              </w:rPr>
            </w:pPr>
          </w:p>
        </w:tc>
        <w:tc>
          <w:tcPr>
            <w:tcW w:w="660" w:type="dxa"/>
            <w:noWrap w:val="0"/>
            <w:vAlign w:val="bottom"/>
          </w:tcPr>
          <w:p>
            <w:pPr>
              <w:rPr>
                <w:rFonts w:hint="default" w:ascii="Times New Roman" w:hAnsi="Times New Roman" w:cs="Times New Roman"/>
                <w:i w:val="0"/>
                <w:color w:val="000000"/>
                <w:sz w:val="20"/>
                <w:szCs w:val="20"/>
                <w:highlight w:val="none"/>
                <w:u w:val="none"/>
              </w:rPr>
            </w:pPr>
          </w:p>
        </w:tc>
        <w:tc>
          <w:tcPr>
            <w:tcW w:w="1118" w:type="dxa"/>
            <w:noWrap w:val="0"/>
            <w:vAlign w:val="bottom"/>
          </w:tcPr>
          <w:p>
            <w:pPr>
              <w:rPr>
                <w:rFonts w:hint="default" w:ascii="Times New Roman" w:hAnsi="Times New Roman" w:cs="Times New Roman"/>
                <w:i w:val="0"/>
                <w:color w:val="000000"/>
                <w:sz w:val="20"/>
                <w:szCs w:val="20"/>
                <w:highlight w:val="none"/>
                <w:u w:val="none"/>
              </w:rPr>
            </w:pPr>
          </w:p>
        </w:tc>
        <w:tc>
          <w:tcPr>
            <w:tcW w:w="1464" w:type="dxa"/>
            <w:noWrap w:val="0"/>
            <w:vAlign w:val="bottom"/>
          </w:tcPr>
          <w:p>
            <w:pPr>
              <w:rPr>
                <w:rFonts w:hint="default" w:ascii="Times New Roman" w:hAnsi="Times New Roman" w:cs="Times New Roman"/>
                <w:i w:val="0"/>
                <w:color w:val="000000"/>
                <w:sz w:val="20"/>
                <w:szCs w:val="20"/>
                <w:highlight w:val="none"/>
                <w:u w:val="none"/>
              </w:rPr>
            </w:pPr>
          </w:p>
        </w:tc>
        <w:tc>
          <w:tcPr>
            <w:tcW w:w="323" w:type="dxa"/>
            <w:noWrap w:val="0"/>
            <w:vAlign w:val="bottom"/>
          </w:tcPr>
          <w:p>
            <w:pPr>
              <w:rPr>
                <w:rFonts w:hint="default" w:ascii="Times New Roman" w:hAnsi="Times New Roman" w:cs="Times New Roman"/>
                <w:i w:val="0"/>
                <w:color w:val="000000"/>
                <w:sz w:val="20"/>
                <w:szCs w:val="20"/>
                <w:highlight w:val="none"/>
                <w:u w:val="none"/>
              </w:rPr>
            </w:pPr>
          </w:p>
        </w:tc>
        <w:tc>
          <w:tcPr>
            <w:tcW w:w="534" w:type="dxa"/>
            <w:noWrap w:val="0"/>
            <w:vAlign w:val="bottom"/>
          </w:tcPr>
          <w:p>
            <w:pPr>
              <w:rPr>
                <w:rFonts w:hint="default" w:ascii="Times New Roman" w:hAnsi="Times New Roman" w:cs="Times New Roman"/>
                <w:i w:val="0"/>
                <w:color w:val="000000"/>
                <w:sz w:val="20"/>
                <w:szCs w:val="20"/>
                <w:highlight w:val="none"/>
                <w:u w:val="none"/>
              </w:rPr>
            </w:pPr>
          </w:p>
        </w:tc>
        <w:tc>
          <w:tcPr>
            <w:tcW w:w="519" w:type="dxa"/>
            <w:noWrap w:val="0"/>
            <w:vAlign w:val="bottom"/>
          </w:tcPr>
          <w:p>
            <w:pPr>
              <w:rPr>
                <w:rFonts w:hint="default" w:ascii="Times New Roman" w:hAnsi="Times New Roman" w:cs="Times New Roman"/>
                <w:i w:val="0"/>
                <w:color w:val="000000"/>
                <w:sz w:val="20"/>
                <w:szCs w:val="20"/>
                <w:highlight w:val="none"/>
                <w:u w:val="none"/>
              </w:rPr>
            </w:pPr>
          </w:p>
        </w:tc>
        <w:tc>
          <w:tcPr>
            <w:tcW w:w="426" w:type="dxa"/>
            <w:noWrap w:val="0"/>
            <w:vAlign w:val="bottom"/>
          </w:tcPr>
          <w:p>
            <w:pPr>
              <w:rPr>
                <w:rFonts w:hint="default" w:ascii="Times New Roman" w:hAnsi="Times New Roman" w:cs="Times New Roman"/>
                <w:i w:val="0"/>
                <w:color w:val="000000"/>
                <w:sz w:val="20"/>
                <w:szCs w:val="20"/>
                <w:highlight w:val="none"/>
                <w:u w:val="none"/>
              </w:rPr>
            </w:pPr>
          </w:p>
        </w:tc>
        <w:tc>
          <w:tcPr>
            <w:tcW w:w="771" w:type="dxa"/>
            <w:noWrap w:val="0"/>
            <w:vAlign w:val="bottom"/>
          </w:tcPr>
          <w:p>
            <w:pPr>
              <w:rPr>
                <w:rFonts w:hint="default" w:ascii="Times New Roman" w:hAnsi="Times New Roman" w:cs="Times New Roman"/>
                <w:i w:val="0"/>
                <w:color w:val="000000"/>
                <w:sz w:val="20"/>
                <w:szCs w:val="20"/>
                <w:highlight w:val="none"/>
                <w:u w:val="none"/>
              </w:rPr>
            </w:pPr>
          </w:p>
        </w:tc>
        <w:tc>
          <w:tcPr>
            <w:tcW w:w="1125" w:type="dxa"/>
            <w:noWrap w:val="0"/>
            <w:vAlign w:val="bottom"/>
          </w:tcPr>
          <w:p>
            <w:pPr>
              <w:rPr>
                <w:rFonts w:hint="default" w:ascii="Times New Roman" w:hAnsi="Times New Roman"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10140" w:type="dxa"/>
            <w:gridSpan w:val="1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116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48"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7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19"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02"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6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18"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64"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23" w:type="dxa"/>
            <w:noWrap w:val="0"/>
            <w:vAlign w:val="bottom"/>
          </w:tcPr>
          <w:p>
            <w:pPr>
              <w:rPr>
                <w:rFonts w:hint="default" w:ascii="Times New Roman" w:hAnsi="Times New Roman" w:cs="Times New Roman"/>
                <w:i w:val="0"/>
                <w:color w:val="000000"/>
                <w:sz w:val="20"/>
                <w:szCs w:val="20"/>
                <w:highlight w:val="none"/>
                <w:u w:val="none"/>
              </w:rPr>
            </w:pPr>
          </w:p>
        </w:tc>
        <w:tc>
          <w:tcPr>
            <w:tcW w:w="534" w:type="dxa"/>
            <w:noWrap w:val="0"/>
            <w:vAlign w:val="bottom"/>
          </w:tcPr>
          <w:p>
            <w:pPr>
              <w:rPr>
                <w:rFonts w:hint="default" w:ascii="Times New Roman" w:hAnsi="Times New Roman" w:cs="Times New Roman"/>
                <w:i w:val="0"/>
                <w:color w:val="000000"/>
                <w:sz w:val="20"/>
                <w:szCs w:val="20"/>
                <w:highlight w:val="none"/>
                <w:u w:val="none"/>
              </w:rPr>
            </w:pPr>
          </w:p>
        </w:tc>
        <w:tc>
          <w:tcPr>
            <w:tcW w:w="519" w:type="dxa"/>
            <w:noWrap w:val="0"/>
            <w:vAlign w:val="bottom"/>
          </w:tcPr>
          <w:p>
            <w:pPr>
              <w:rPr>
                <w:rFonts w:hint="default" w:ascii="Times New Roman" w:hAnsi="Times New Roman" w:cs="Times New Roman"/>
                <w:i w:val="0"/>
                <w:color w:val="000000"/>
                <w:sz w:val="20"/>
                <w:szCs w:val="20"/>
                <w:highlight w:val="none"/>
                <w:u w:val="none"/>
              </w:rPr>
            </w:pPr>
          </w:p>
        </w:tc>
        <w:tc>
          <w:tcPr>
            <w:tcW w:w="426" w:type="dxa"/>
            <w:noWrap w:val="0"/>
            <w:vAlign w:val="bottom"/>
          </w:tcPr>
          <w:p>
            <w:pPr>
              <w:rPr>
                <w:rFonts w:hint="default" w:ascii="Times New Roman" w:hAnsi="Times New Roman" w:cs="Times New Roman"/>
                <w:i w:val="0"/>
                <w:color w:val="000000"/>
                <w:sz w:val="20"/>
                <w:szCs w:val="20"/>
                <w:highlight w:val="none"/>
                <w:u w:val="none"/>
              </w:rPr>
            </w:pPr>
          </w:p>
        </w:tc>
        <w:tc>
          <w:tcPr>
            <w:tcW w:w="1896" w:type="dxa"/>
            <w:gridSpan w:val="2"/>
            <w:tcBorders>
              <w:bottom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4978"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          入</w:t>
            </w:r>
          </w:p>
        </w:tc>
        <w:tc>
          <w:tcPr>
            <w:tcW w:w="516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116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63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218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预算数</w:t>
            </w:r>
          </w:p>
        </w:tc>
        <w:tc>
          <w:tcPr>
            <w:tcW w:w="146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3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232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116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策勒县</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sz w:val="20"/>
                <w:szCs w:val="20"/>
                <w:highlight w:val="none"/>
                <w:u w:val="none"/>
                <w:lang w:val="en-US" w:eastAsia="zh-CN"/>
              </w:rPr>
              <w:t>策勒县</w:t>
            </w:r>
          </w:p>
        </w:tc>
        <w:tc>
          <w:tcPr>
            <w:tcW w:w="146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sz w:val="20"/>
                <w:szCs w:val="20"/>
                <w:highlight w:val="none"/>
                <w:u w:val="none"/>
                <w:lang w:val="en-US" w:eastAsia="zh-CN"/>
              </w:rPr>
              <w:t>策勒县</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sz w:val="20"/>
                <w:szCs w:val="20"/>
                <w:highlight w:val="none"/>
                <w:u w:val="none"/>
                <w:lang w:val="en-US" w:eastAsia="zh-CN"/>
              </w:rPr>
              <w:t>策勒县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一、解决历史遗留问题及改革成本支出</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w:t>
            </w:r>
            <w:r>
              <w:rPr>
                <w:rFonts w:hint="default" w:ascii="Times New Roman" w:hAnsi="Times New Roman" w:cs="Times New Roman"/>
                <w:i w:val="0"/>
                <w:color w:val="000000"/>
                <w:kern w:val="0"/>
                <w:sz w:val="20"/>
                <w:szCs w:val="20"/>
                <w:highlight w:val="none"/>
                <w:u w:val="none"/>
                <w:lang w:val="en-US" w:eastAsia="zh-CN" w:bidi="ar"/>
              </w:rPr>
              <w:t>股息红利</w:t>
            </w:r>
            <w:r>
              <w:rPr>
                <w:rFonts w:hint="default" w:ascii="Times New Roman" w:hAnsi="Times New Roman" w:eastAsia="宋体" w:cs="Times New Roman"/>
                <w:i w:val="0"/>
                <w:color w:val="000000"/>
                <w:kern w:val="0"/>
                <w:sz w:val="20"/>
                <w:szCs w:val="20"/>
                <w:highlight w:val="none"/>
                <w:u w:val="none"/>
                <w:lang w:val="en-US" w:eastAsia="zh-CN" w:bidi="ar"/>
              </w:rPr>
              <w:t>收入</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二、国有企业资本金注入</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三、产权转让收入</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三、国有企业</w:t>
            </w:r>
            <w:r>
              <w:rPr>
                <w:rFonts w:hint="default" w:ascii="Times New Roman" w:hAnsi="Times New Roman" w:cs="Times New Roman"/>
                <w:i w:val="0"/>
                <w:color w:val="000000"/>
                <w:kern w:val="0"/>
                <w:sz w:val="20"/>
                <w:szCs w:val="20"/>
                <w:highlight w:val="none"/>
                <w:u w:val="none"/>
                <w:lang w:val="en-US" w:eastAsia="zh-CN" w:bidi="ar"/>
              </w:rPr>
              <w:t>公益</w:t>
            </w:r>
            <w:r>
              <w:rPr>
                <w:rFonts w:hint="default" w:ascii="Times New Roman" w:hAnsi="Times New Roman" w:eastAsia="宋体" w:cs="Times New Roman"/>
                <w:i w:val="0"/>
                <w:color w:val="000000"/>
                <w:kern w:val="0"/>
                <w:sz w:val="20"/>
                <w:szCs w:val="20"/>
                <w:highlight w:val="none"/>
                <w:u w:val="none"/>
                <w:lang w:val="en-US" w:eastAsia="zh-CN" w:bidi="ar"/>
              </w:rPr>
              <w:t>性补贴</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四、清算收入</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四、其他国有资本经营预算支出</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五、其他国有资本经营预算收入</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收入合计</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支出合计</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国有资本经营预算转移支付收入</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w:t>
            </w: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国有资本经营预算转移支付支出</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国有资本经营预算上解收入</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国有资本经营预算上解支出</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国有资本经营预算</w:t>
            </w:r>
            <w:r>
              <w:rPr>
                <w:rFonts w:hint="default" w:ascii="Times New Roman" w:hAnsi="Times New Roman" w:eastAsia="宋体" w:cs="Times New Roman"/>
                <w:i w:val="0"/>
                <w:color w:val="000000"/>
                <w:kern w:val="0"/>
                <w:sz w:val="20"/>
                <w:szCs w:val="20"/>
                <w:highlight w:val="none"/>
                <w:u w:val="none"/>
                <w:lang w:val="en-US" w:eastAsia="zh-CN" w:bidi="ar"/>
              </w:rPr>
              <w:t>上年结转</w:t>
            </w:r>
            <w:r>
              <w:rPr>
                <w:rFonts w:hint="default" w:ascii="Times New Roman" w:hAnsi="Times New Roman" w:cs="Times New Roman"/>
                <w:i w:val="0"/>
                <w:color w:val="000000"/>
                <w:kern w:val="0"/>
                <w:sz w:val="20"/>
                <w:szCs w:val="20"/>
                <w:highlight w:val="none"/>
                <w:u w:val="none"/>
                <w:lang w:val="en-US" w:eastAsia="zh-CN" w:bidi="ar"/>
              </w:rPr>
              <w:t>收入</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w:t>
            </w:r>
          </w:p>
        </w:tc>
        <w:tc>
          <w:tcPr>
            <w:tcW w:w="1190" w:type="dxa"/>
            <w:gridSpan w:val="2"/>
            <w:tcBorders>
              <w:top w:val="single" w:color="000000" w:sz="4" w:space="0"/>
              <w:left w:val="single" w:color="000000" w:sz="4" w:space="0"/>
              <w:bottom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国有资本经营预算调出资金</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lang w:val="en-US"/>
              </w:rPr>
            </w:pP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国有资本经营预算年终结余</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收入总计</w:t>
            </w:r>
          </w:p>
        </w:tc>
        <w:tc>
          <w:tcPr>
            <w:tcW w:w="4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118</w:t>
            </w:r>
          </w:p>
        </w:tc>
        <w:tc>
          <w:tcPr>
            <w:tcW w:w="119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118</w:t>
            </w:r>
          </w:p>
        </w:tc>
        <w:tc>
          <w:tcPr>
            <w:tcW w:w="40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143</w:t>
            </w:r>
          </w:p>
        </w:tc>
        <w:tc>
          <w:tcPr>
            <w:tcW w:w="1778"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143</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支出总计</w:t>
            </w:r>
          </w:p>
        </w:tc>
        <w:tc>
          <w:tcPr>
            <w:tcW w:w="32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118</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118</w:t>
            </w:r>
          </w:p>
        </w:tc>
        <w:tc>
          <w:tcPr>
            <w:tcW w:w="42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143</w:t>
            </w:r>
          </w:p>
        </w:tc>
        <w:tc>
          <w:tcPr>
            <w:tcW w:w="189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143</w:t>
            </w:r>
          </w:p>
        </w:tc>
      </w:tr>
    </w:tbl>
    <w:p>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p>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tbl>
      <w:tblPr>
        <w:tblStyle w:val="12"/>
        <w:tblpPr w:leftFromText="180" w:rightFromText="180" w:vertAnchor="text" w:horzAnchor="page" w:tblpX="547" w:tblpY="33"/>
        <w:tblOverlap w:val="never"/>
        <w:tblW w:w="10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91"/>
        <w:gridCol w:w="2949"/>
        <w:gridCol w:w="1493"/>
        <w:gridCol w:w="512"/>
        <w:gridCol w:w="994"/>
        <w:gridCol w:w="1539"/>
        <w:gridCol w:w="457"/>
        <w:gridCol w:w="1060"/>
        <w:gridCol w:w="9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991"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w:t>
            </w:r>
            <w:r>
              <w:rPr>
                <w:rFonts w:hint="default" w:ascii="Times New Roman" w:hAnsi="Times New Roman" w:cs="Times New Roman"/>
                <w:i w:val="0"/>
                <w:color w:val="000000"/>
                <w:kern w:val="0"/>
                <w:sz w:val="20"/>
                <w:szCs w:val="20"/>
                <w:highlight w:val="none"/>
                <w:u w:val="none"/>
                <w:lang w:eastAsia="zh-CN" w:bidi="ar"/>
              </w:rPr>
              <w:t>5</w:t>
            </w:r>
          </w:p>
        </w:tc>
        <w:tc>
          <w:tcPr>
            <w:tcW w:w="2949"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493" w:type="dxa"/>
            <w:noWrap w:val="0"/>
            <w:vAlign w:val="center"/>
          </w:tcPr>
          <w:p>
            <w:pPr>
              <w:rPr>
                <w:rFonts w:hint="default" w:ascii="Times New Roman" w:hAnsi="Times New Roman" w:eastAsia="宋体" w:cs="Times New Roman"/>
                <w:i w:val="0"/>
                <w:color w:val="000000"/>
                <w:sz w:val="24"/>
                <w:szCs w:val="24"/>
                <w:highlight w:val="none"/>
                <w:u w:val="none"/>
              </w:rPr>
            </w:pPr>
          </w:p>
        </w:tc>
        <w:tc>
          <w:tcPr>
            <w:tcW w:w="512" w:type="dxa"/>
            <w:noWrap w:val="0"/>
            <w:vAlign w:val="center"/>
          </w:tcPr>
          <w:p>
            <w:pPr>
              <w:rPr>
                <w:rFonts w:hint="default" w:ascii="Times New Roman" w:hAnsi="Times New Roman" w:eastAsia="宋体" w:cs="Times New Roman"/>
                <w:i w:val="0"/>
                <w:color w:val="000000"/>
                <w:sz w:val="24"/>
                <w:szCs w:val="24"/>
                <w:highlight w:val="none"/>
                <w:u w:val="none"/>
              </w:rPr>
            </w:pPr>
          </w:p>
        </w:tc>
        <w:tc>
          <w:tcPr>
            <w:tcW w:w="994"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539" w:type="dxa"/>
            <w:noWrap w:val="0"/>
            <w:vAlign w:val="center"/>
          </w:tcPr>
          <w:p>
            <w:pPr>
              <w:rPr>
                <w:rFonts w:hint="default" w:ascii="Times New Roman" w:hAnsi="Times New Roman" w:eastAsia="宋体" w:cs="Times New Roman"/>
                <w:i w:val="0"/>
                <w:color w:val="000000"/>
                <w:sz w:val="24"/>
                <w:szCs w:val="24"/>
                <w:highlight w:val="none"/>
                <w:u w:val="none"/>
              </w:rPr>
            </w:pPr>
          </w:p>
        </w:tc>
        <w:tc>
          <w:tcPr>
            <w:tcW w:w="457"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06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925"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0920" w:type="dxa"/>
            <w:gridSpan w:val="9"/>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5" w:hRule="atLeast"/>
        </w:trPr>
        <w:tc>
          <w:tcPr>
            <w:tcW w:w="991"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949"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9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12"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94"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39" w:type="dxa"/>
            <w:noWrap w:val="0"/>
            <w:vAlign w:val="center"/>
          </w:tcPr>
          <w:p>
            <w:pPr>
              <w:rPr>
                <w:rFonts w:hint="default" w:ascii="Times New Roman" w:hAnsi="Times New Roman" w:eastAsia="宋体" w:cs="Times New Roman"/>
                <w:i w:val="0"/>
                <w:color w:val="000000"/>
                <w:sz w:val="24"/>
                <w:szCs w:val="24"/>
                <w:highlight w:val="none"/>
                <w:u w:val="none"/>
              </w:rPr>
            </w:pPr>
          </w:p>
        </w:tc>
        <w:tc>
          <w:tcPr>
            <w:tcW w:w="457"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985"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94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科目名称／企业</w:t>
            </w:r>
          </w:p>
        </w:tc>
        <w:tc>
          <w:tcPr>
            <w:tcW w:w="299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305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9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9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94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15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策勒县</w:t>
            </w:r>
          </w:p>
        </w:tc>
        <w:tc>
          <w:tcPr>
            <w:tcW w:w="9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1030601</w:t>
            </w:r>
          </w:p>
        </w:tc>
        <w:tc>
          <w:tcPr>
            <w:tcW w:w="29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p>
        </w:tc>
        <w:tc>
          <w:tcPr>
            <w:tcW w:w="153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103060198</w:t>
            </w:r>
          </w:p>
        </w:tc>
        <w:tc>
          <w:tcPr>
            <w:tcW w:w="29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其他国有资本经营预算企业利润收入</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53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1030699</w:t>
            </w:r>
          </w:p>
        </w:tc>
        <w:tc>
          <w:tcPr>
            <w:tcW w:w="29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五、其他国有资本经营预算收入</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p>
        </w:tc>
        <w:tc>
          <w:tcPr>
            <w:tcW w:w="153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1030698</w:t>
            </w:r>
          </w:p>
        </w:tc>
        <w:tc>
          <w:tcPr>
            <w:tcW w:w="29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Chars="1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其他国有资本经营预算收入</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53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991"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9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收入合计</w:t>
            </w:r>
          </w:p>
        </w:tc>
        <w:tc>
          <w:tcPr>
            <w:tcW w:w="149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50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53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51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92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bl>
    <w:tbl>
      <w:tblPr>
        <w:tblStyle w:val="12"/>
        <w:tblpPr w:leftFromText="180" w:rightFromText="180" w:vertAnchor="text" w:horzAnchor="page" w:tblpX="652" w:tblpY="493"/>
        <w:tblOverlap w:val="never"/>
        <w:tblW w:w="1055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58"/>
        <w:gridCol w:w="1273"/>
        <w:gridCol w:w="427"/>
        <w:gridCol w:w="637"/>
        <w:gridCol w:w="240"/>
        <w:gridCol w:w="743"/>
        <w:gridCol w:w="240"/>
        <w:gridCol w:w="693"/>
        <w:gridCol w:w="467"/>
        <w:gridCol w:w="497"/>
        <w:gridCol w:w="500"/>
        <w:gridCol w:w="502"/>
        <w:gridCol w:w="19"/>
        <w:gridCol w:w="522"/>
        <w:gridCol w:w="482"/>
        <w:gridCol w:w="454"/>
        <w:gridCol w:w="461"/>
        <w:gridCol w:w="444"/>
        <w:gridCol w:w="10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2" w:hRule="atLeast"/>
        </w:trPr>
        <w:tc>
          <w:tcPr>
            <w:tcW w:w="10551" w:type="dxa"/>
            <w:gridSpan w:val="19"/>
            <w:noWrap w:val="0"/>
            <w:vAlign w:val="center"/>
          </w:tcPr>
          <w:p>
            <w:pPr>
              <w:keepNext w:val="0"/>
              <w:keepLines w:val="0"/>
              <w:widowControl/>
              <w:suppressLineNumbers w:val="0"/>
              <w:jc w:val="left"/>
              <w:textAlignment w:val="bottom"/>
              <w:rPr>
                <w:rFonts w:hint="default" w:ascii="Times New Roman" w:hAnsi="Times New Roman" w:cs="Times New Roman"/>
                <w:i w:val="0"/>
                <w:color w:val="000000"/>
                <w:kern w:val="0"/>
                <w:sz w:val="20"/>
                <w:szCs w:val="20"/>
                <w:highlight w:val="none"/>
                <w:u w:val="none"/>
                <w:lang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表1</w:t>
            </w:r>
            <w:r>
              <w:rPr>
                <w:rFonts w:hint="default" w:ascii="Times New Roman" w:hAnsi="Times New Roman" w:cs="Times New Roman"/>
                <w:i w:val="0"/>
                <w:color w:val="000000"/>
                <w:kern w:val="0"/>
                <w:sz w:val="20"/>
                <w:szCs w:val="20"/>
                <w:highlight w:val="none"/>
                <w:u w:val="none"/>
                <w:lang w:eastAsia="zh-CN" w:bidi="ar"/>
              </w:rPr>
              <w:t>6</w:t>
            </w:r>
          </w:p>
          <w:p>
            <w:pPr>
              <w:keepNext w:val="0"/>
              <w:keepLines w:val="0"/>
              <w:widowControl/>
              <w:suppressLineNumbers w:val="0"/>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国有资本经营预算支出表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3" w:hRule="atLeast"/>
        </w:trPr>
        <w:tc>
          <w:tcPr>
            <w:tcW w:w="858"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7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27" w:type="dxa"/>
            <w:noWrap w:val="0"/>
            <w:vAlign w:val="bottom"/>
          </w:tcPr>
          <w:p>
            <w:pPr>
              <w:rPr>
                <w:rFonts w:hint="default" w:ascii="Times New Roman" w:hAnsi="Times New Roman" w:eastAsia="宋体" w:cs="Times New Roman"/>
                <w:i w:val="0"/>
                <w:color w:val="000000"/>
                <w:sz w:val="20"/>
                <w:szCs w:val="20"/>
                <w:highlight w:val="none"/>
                <w:u w:val="none"/>
              </w:rPr>
            </w:pPr>
          </w:p>
        </w:tc>
        <w:tc>
          <w:tcPr>
            <w:tcW w:w="637" w:type="dxa"/>
            <w:noWrap w:val="0"/>
            <w:vAlign w:val="bottom"/>
          </w:tcPr>
          <w:p>
            <w:pPr>
              <w:rPr>
                <w:rFonts w:hint="default" w:ascii="Times New Roman" w:hAnsi="Times New Roman" w:eastAsia="宋体" w:cs="Times New Roman"/>
                <w:i w:val="0"/>
                <w:color w:val="000000"/>
                <w:sz w:val="20"/>
                <w:szCs w:val="20"/>
                <w:highlight w:val="none"/>
                <w:u w:val="none"/>
              </w:rPr>
            </w:pPr>
          </w:p>
        </w:tc>
        <w:tc>
          <w:tcPr>
            <w:tcW w:w="240" w:type="dxa"/>
            <w:noWrap w:val="0"/>
            <w:vAlign w:val="bottom"/>
          </w:tcPr>
          <w:p>
            <w:pPr>
              <w:rPr>
                <w:rFonts w:hint="default" w:ascii="Times New Roman" w:hAnsi="Times New Roman" w:eastAsia="宋体" w:cs="Times New Roman"/>
                <w:i w:val="0"/>
                <w:color w:val="000000"/>
                <w:sz w:val="20"/>
                <w:szCs w:val="20"/>
                <w:highlight w:val="none"/>
                <w:u w:val="none"/>
              </w:rPr>
            </w:pPr>
          </w:p>
        </w:tc>
        <w:tc>
          <w:tcPr>
            <w:tcW w:w="743" w:type="dxa"/>
            <w:noWrap w:val="0"/>
            <w:vAlign w:val="bottom"/>
          </w:tcPr>
          <w:p>
            <w:pPr>
              <w:rPr>
                <w:rFonts w:hint="default" w:ascii="Times New Roman" w:hAnsi="Times New Roman" w:eastAsia="宋体" w:cs="Times New Roman"/>
                <w:i w:val="0"/>
                <w:color w:val="000000"/>
                <w:sz w:val="20"/>
                <w:szCs w:val="20"/>
                <w:highlight w:val="none"/>
                <w:u w:val="none"/>
              </w:rPr>
            </w:pPr>
          </w:p>
        </w:tc>
        <w:tc>
          <w:tcPr>
            <w:tcW w:w="240" w:type="dxa"/>
            <w:noWrap w:val="0"/>
            <w:vAlign w:val="bottom"/>
          </w:tcPr>
          <w:p>
            <w:pPr>
              <w:rPr>
                <w:rFonts w:hint="default" w:ascii="Times New Roman" w:hAnsi="Times New Roman" w:eastAsia="宋体" w:cs="Times New Roman"/>
                <w:i w:val="0"/>
                <w:color w:val="000000"/>
                <w:sz w:val="20"/>
                <w:szCs w:val="20"/>
                <w:highlight w:val="none"/>
                <w:u w:val="none"/>
              </w:rPr>
            </w:pPr>
          </w:p>
        </w:tc>
        <w:tc>
          <w:tcPr>
            <w:tcW w:w="693" w:type="dxa"/>
            <w:noWrap w:val="0"/>
            <w:vAlign w:val="bottom"/>
          </w:tcPr>
          <w:p>
            <w:pPr>
              <w:rPr>
                <w:rFonts w:hint="default" w:ascii="Times New Roman" w:hAnsi="Times New Roman" w:eastAsia="宋体" w:cs="Times New Roman"/>
                <w:i w:val="0"/>
                <w:color w:val="000000"/>
                <w:sz w:val="20"/>
                <w:szCs w:val="20"/>
                <w:highlight w:val="none"/>
                <w:u w:val="none"/>
              </w:rPr>
            </w:pPr>
          </w:p>
        </w:tc>
        <w:tc>
          <w:tcPr>
            <w:tcW w:w="467" w:type="dxa"/>
            <w:noWrap w:val="0"/>
            <w:vAlign w:val="bottom"/>
          </w:tcPr>
          <w:p>
            <w:pPr>
              <w:rPr>
                <w:rFonts w:hint="default" w:ascii="Times New Roman" w:hAnsi="Times New Roman" w:eastAsia="宋体" w:cs="Times New Roman"/>
                <w:i w:val="0"/>
                <w:color w:val="000000"/>
                <w:sz w:val="20"/>
                <w:szCs w:val="20"/>
                <w:highlight w:val="none"/>
                <w:u w:val="none"/>
              </w:rPr>
            </w:pPr>
          </w:p>
        </w:tc>
        <w:tc>
          <w:tcPr>
            <w:tcW w:w="497" w:type="dxa"/>
            <w:noWrap w:val="0"/>
            <w:vAlign w:val="bottom"/>
          </w:tcPr>
          <w:p>
            <w:pPr>
              <w:rPr>
                <w:rFonts w:hint="default" w:ascii="Times New Roman" w:hAnsi="Times New Roman" w:eastAsia="宋体" w:cs="Times New Roman"/>
                <w:i w:val="0"/>
                <w:color w:val="000000"/>
                <w:sz w:val="20"/>
                <w:szCs w:val="20"/>
                <w:highlight w:val="none"/>
                <w:u w:val="none"/>
              </w:rPr>
            </w:pPr>
          </w:p>
        </w:tc>
        <w:tc>
          <w:tcPr>
            <w:tcW w:w="500" w:type="dxa"/>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rPr>
            </w:pPr>
          </w:p>
        </w:tc>
        <w:tc>
          <w:tcPr>
            <w:tcW w:w="502"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541"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482"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454"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461"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444"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1092" w:type="dxa"/>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8" w:hRule="atLeast"/>
        </w:trPr>
        <w:tc>
          <w:tcPr>
            <w:tcW w:w="85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127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科目名称</w:t>
            </w:r>
          </w:p>
        </w:tc>
        <w:tc>
          <w:tcPr>
            <w:tcW w:w="4444"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年完成数</w:t>
            </w:r>
          </w:p>
        </w:tc>
        <w:tc>
          <w:tcPr>
            <w:tcW w:w="3976"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8" w:hRule="atLeast"/>
        </w:trPr>
        <w:tc>
          <w:tcPr>
            <w:tcW w:w="8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highlight w:val="none"/>
                <w:u w:val="none"/>
              </w:rPr>
            </w:pPr>
          </w:p>
        </w:tc>
        <w:tc>
          <w:tcPr>
            <w:tcW w:w="127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highlight w:val="none"/>
                <w:u w:val="none"/>
              </w:rPr>
            </w:pPr>
          </w:p>
        </w:tc>
        <w:tc>
          <w:tcPr>
            <w:tcW w:w="42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资本性支出</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费用性支出</w:t>
            </w: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其他支出</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合计</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资本性支出</w:t>
            </w: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费用性支出</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eastAsia="宋体" w:cs="Times New Roman"/>
                <w:b/>
                <w:bCs/>
                <w:i w:val="0"/>
                <w:color w:val="000000"/>
                <w:kern w:val="0"/>
                <w:sz w:val="20"/>
                <w:szCs w:val="20"/>
                <w:highlight w:val="none"/>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8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highlight w:val="none"/>
                <w:u w:val="none"/>
              </w:rPr>
            </w:pPr>
          </w:p>
        </w:tc>
        <w:tc>
          <w:tcPr>
            <w:tcW w:w="127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highlight w:val="none"/>
                <w:u w:val="none"/>
              </w:rPr>
            </w:pPr>
          </w:p>
        </w:tc>
        <w:tc>
          <w:tcPr>
            <w:tcW w:w="42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bCs/>
                <w:i w:val="0"/>
                <w:color w:val="000000"/>
                <w:sz w:val="20"/>
                <w:szCs w:val="20"/>
                <w:highlight w:val="none"/>
                <w:u w:val="none"/>
              </w:rPr>
            </w:pP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52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highlight w:val="none"/>
                <w:u w:val="none"/>
                <w:lang w:val="en-US" w:eastAsia="zh-CN" w:bidi="ar-SA"/>
              </w:rPr>
            </w:pPr>
            <w:r>
              <w:rPr>
                <w:rFonts w:hint="default" w:ascii="Times New Roman" w:hAnsi="Times New Roman" w:cs="Times New Roman"/>
                <w:b/>
                <w:bCs/>
                <w:i w:val="0"/>
                <w:color w:val="000000"/>
                <w:kern w:val="0"/>
                <w:sz w:val="20"/>
                <w:szCs w:val="20"/>
                <w:highlight w:val="none"/>
                <w:u w:val="none"/>
                <w:lang w:val="en-US" w:eastAsia="zh-CN" w:bidi="ar"/>
              </w:rPr>
              <w:t>策勒县本级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223</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国有资本经营预算支出</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2"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22301</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解决历史遗留问题及改革成本支出</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877" w:type="dxa"/>
            <w:gridSpan w:val="2"/>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83" w:type="dxa"/>
            <w:gridSpan w:val="2"/>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1" w:type="dxa"/>
            <w:gridSpan w:val="2"/>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2"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36" w:type="dxa"/>
            <w:gridSpan w:val="2"/>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rPr>
              <w:t xml:space="preserve">  </w:t>
            </w:r>
            <w:r>
              <w:rPr>
                <w:rFonts w:hint="default" w:ascii="Times New Roman" w:hAnsi="Times New Roman" w:cs="Times New Roman"/>
                <w:lang w:val="en-US" w:eastAsia="zh-CN"/>
              </w:rPr>
              <w:t>2330105</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国有企业退休人员社会化管理补助支出</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22302</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国有企业资本金注入</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2230299</w:t>
            </w: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其他国有企业资本金注入</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877" w:type="dxa"/>
            <w:gridSpan w:val="2"/>
            <w:tcBorders>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983" w:type="dxa"/>
            <w:gridSpan w:val="2"/>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20</w:t>
            </w:r>
          </w:p>
        </w:tc>
        <w:tc>
          <w:tcPr>
            <w:tcW w:w="521" w:type="dxa"/>
            <w:gridSpan w:val="2"/>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c>
          <w:tcPr>
            <w:tcW w:w="522"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c>
          <w:tcPr>
            <w:tcW w:w="936" w:type="dxa"/>
            <w:gridSpan w:val="2"/>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8" w:hRule="atLeast"/>
        </w:trPr>
        <w:tc>
          <w:tcPr>
            <w:tcW w:w="85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2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支出合计</w:t>
            </w:r>
          </w:p>
        </w:tc>
        <w:tc>
          <w:tcPr>
            <w:tcW w:w="4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p>
            <w:pPr>
              <w:jc w:val="right"/>
              <w:rPr>
                <w:rFonts w:hint="default" w:ascii="Times New Roman" w:hAnsi="Times New Roman" w:eastAsia="宋体" w:cs="Times New Roman"/>
                <w:i w:val="0"/>
                <w:color w:val="000000"/>
                <w:sz w:val="20"/>
                <w:szCs w:val="20"/>
                <w:highlight w:val="none"/>
                <w:u w:val="none"/>
              </w:rPr>
            </w:pPr>
          </w:p>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w:t>
            </w:r>
          </w:p>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87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21</w:t>
            </w:r>
          </w:p>
        </w:tc>
        <w:tc>
          <w:tcPr>
            <w:tcW w:w="983"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97"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21</w:t>
            </w:r>
          </w:p>
        </w:tc>
        <w:tc>
          <w:tcPr>
            <w:tcW w:w="521"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100</w:t>
            </w:r>
          </w:p>
        </w:tc>
        <w:tc>
          <w:tcPr>
            <w:tcW w:w="52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100</w:t>
            </w:r>
          </w:p>
        </w:tc>
        <w:tc>
          <w:tcPr>
            <w:tcW w:w="936"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90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kern w:val="2"/>
                <w:sz w:val="20"/>
                <w:szCs w:val="20"/>
                <w:highlight w:val="none"/>
                <w:u w:val="none"/>
                <w:lang w:val="en-US" w:eastAsia="zh-CN" w:bidi="ar-SA"/>
              </w:rPr>
              <w:t>100</w:t>
            </w:r>
          </w:p>
        </w:tc>
      </w:tr>
    </w:tbl>
    <w:p>
      <w:pPr>
        <w:pStyle w:val="10"/>
        <w:rPr>
          <w:rFonts w:hint="default" w:ascii="Times New Roman" w:hAnsi="Times New Roman" w:cs="Times New Roman"/>
          <w:lang w:val="en-US" w:eastAsia="zh-CN"/>
        </w:rPr>
      </w:pPr>
    </w:p>
    <w:p>
      <w:pPr>
        <w:pStyle w:val="10"/>
        <w:rPr>
          <w:rFonts w:hint="default" w:ascii="Times New Roman" w:hAnsi="Times New Roman" w:cs="Times New Roman"/>
          <w:lang w:val="en-US" w:eastAsia="zh-CN"/>
        </w:rPr>
      </w:pPr>
    </w:p>
    <w:p>
      <w:pPr>
        <w:pStyle w:val="10"/>
        <w:rPr>
          <w:rFonts w:hint="default" w:ascii="Times New Roman" w:hAnsi="Times New Roman" w:cs="Times New Roman"/>
          <w:lang w:val="en-US" w:eastAsia="zh-CN"/>
        </w:rPr>
      </w:pPr>
    </w:p>
    <w:p>
      <w:pPr>
        <w:rPr>
          <w:rFonts w:hint="default" w:ascii="Times New Roman" w:hAnsi="Times New Roman" w:cs="Times New Roman"/>
          <w:highlight w:val="none"/>
        </w:rPr>
      </w:pPr>
    </w:p>
    <w:tbl>
      <w:tblPr>
        <w:tblStyle w:val="12"/>
        <w:tblpPr w:leftFromText="180" w:rightFromText="180" w:vertAnchor="text" w:horzAnchor="page" w:tblpX="1237" w:tblpY="71"/>
        <w:tblOverlap w:val="never"/>
        <w:tblW w:w="93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746"/>
        <w:gridCol w:w="904"/>
        <w:gridCol w:w="421"/>
        <w:gridCol w:w="1325"/>
        <w:gridCol w:w="2353"/>
        <w:gridCol w:w="578"/>
        <w:gridCol w:w="582"/>
        <w:gridCol w:w="1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746"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17</w:t>
            </w:r>
          </w:p>
        </w:tc>
        <w:tc>
          <w:tcPr>
            <w:tcW w:w="904" w:type="dxa"/>
            <w:noWrap w:val="0"/>
            <w:vAlign w:val="bottom"/>
          </w:tcPr>
          <w:p>
            <w:pPr>
              <w:rPr>
                <w:rFonts w:hint="default" w:ascii="Times New Roman" w:hAnsi="Times New Roman" w:cs="Times New Roman"/>
                <w:i w:val="0"/>
                <w:color w:val="000000"/>
                <w:sz w:val="20"/>
                <w:szCs w:val="20"/>
                <w:highlight w:val="none"/>
                <w:u w:val="none"/>
              </w:rPr>
            </w:pPr>
          </w:p>
        </w:tc>
        <w:tc>
          <w:tcPr>
            <w:tcW w:w="1746" w:type="dxa"/>
            <w:gridSpan w:val="2"/>
            <w:noWrap w:val="0"/>
            <w:vAlign w:val="bottom"/>
          </w:tcPr>
          <w:p>
            <w:pPr>
              <w:rPr>
                <w:rFonts w:hint="default" w:ascii="Times New Roman" w:hAnsi="Times New Roman" w:cs="Times New Roman"/>
                <w:i w:val="0"/>
                <w:color w:val="000000"/>
                <w:sz w:val="20"/>
                <w:szCs w:val="20"/>
                <w:highlight w:val="none"/>
                <w:u w:val="none"/>
              </w:rPr>
            </w:pPr>
          </w:p>
        </w:tc>
        <w:tc>
          <w:tcPr>
            <w:tcW w:w="2353" w:type="dxa"/>
            <w:noWrap w:val="0"/>
            <w:vAlign w:val="bottom"/>
          </w:tcPr>
          <w:p>
            <w:pPr>
              <w:rPr>
                <w:rFonts w:hint="default" w:ascii="Times New Roman" w:hAnsi="Times New Roman" w:cs="Times New Roman"/>
                <w:i w:val="0"/>
                <w:color w:val="000000"/>
                <w:sz w:val="20"/>
                <w:szCs w:val="20"/>
                <w:highlight w:val="none"/>
                <w:u w:val="none"/>
              </w:rPr>
            </w:pPr>
          </w:p>
        </w:tc>
        <w:tc>
          <w:tcPr>
            <w:tcW w:w="578" w:type="dxa"/>
            <w:noWrap w:val="0"/>
            <w:vAlign w:val="bottom"/>
          </w:tcPr>
          <w:p>
            <w:pPr>
              <w:rPr>
                <w:rFonts w:hint="default" w:ascii="Times New Roman" w:hAnsi="Times New Roman" w:cs="Times New Roman"/>
                <w:i w:val="0"/>
                <w:color w:val="000000"/>
                <w:sz w:val="20"/>
                <w:szCs w:val="20"/>
                <w:highlight w:val="none"/>
                <w:u w:val="none"/>
              </w:rPr>
            </w:pPr>
          </w:p>
        </w:tc>
        <w:tc>
          <w:tcPr>
            <w:tcW w:w="2048" w:type="dxa"/>
            <w:gridSpan w:val="2"/>
            <w:noWrap w:val="0"/>
            <w:vAlign w:val="bottom"/>
          </w:tcPr>
          <w:p>
            <w:pPr>
              <w:rPr>
                <w:rFonts w:hint="default" w:ascii="Times New Roman" w:hAnsi="Times New Roman"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9375" w:type="dxa"/>
            <w:gridSpan w:val="8"/>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本级国有资本经营预算收支总表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174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04"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46"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35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578"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48" w:type="dxa"/>
            <w:gridSpan w:val="2"/>
            <w:tcBorders>
              <w:bottom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439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          入</w:t>
            </w:r>
          </w:p>
        </w:tc>
        <w:tc>
          <w:tcPr>
            <w:tcW w:w="497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325" w:type="dxa"/>
            <w:gridSpan w:val="2"/>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1325"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160" w:type="dxa"/>
            <w:gridSpan w:val="2"/>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1466" w:type="dxa"/>
            <w:tcBorders>
              <w:top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一、解决历史遗留问题及改革成本支出</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二、股息</w:t>
            </w:r>
            <w:r>
              <w:rPr>
                <w:rFonts w:hint="default" w:ascii="Times New Roman" w:hAnsi="Times New Roman" w:cs="Times New Roman"/>
                <w:i w:val="0"/>
                <w:color w:val="000000"/>
                <w:kern w:val="0"/>
                <w:sz w:val="20"/>
                <w:szCs w:val="20"/>
                <w:highlight w:val="none"/>
                <w:u w:val="none"/>
                <w:lang w:val="en-US" w:eastAsia="zh-CN" w:bidi="ar"/>
              </w:rPr>
              <w:t>红利</w:t>
            </w:r>
            <w:r>
              <w:rPr>
                <w:rFonts w:hint="default" w:ascii="Times New Roman" w:hAnsi="Times New Roman" w:eastAsia="宋体" w:cs="Times New Roman"/>
                <w:i w:val="0"/>
                <w:color w:val="000000"/>
                <w:kern w:val="0"/>
                <w:sz w:val="20"/>
                <w:szCs w:val="20"/>
                <w:highlight w:val="none"/>
                <w:u w:val="none"/>
                <w:lang w:val="en-US" w:eastAsia="zh-CN" w:bidi="ar"/>
              </w:rPr>
              <w:t>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二、国有企业资本金注入</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三、产权转让收入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三、国有企业</w:t>
            </w:r>
            <w:r>
              <w:rPr>
                <w:rFonts w:hint="default" w:ascii="Times New Roman" w:hAnsi="Times New Roman" w:cs="Times New Roman"/>
                <w:i w:val="0"/>
                <w:color w:val="000000"/>
                <w:kern w:val="0"/>
                <w:sz w:val="20"/>
                <w:szCs w:val="20"/>
                <w:highlight w:val="none"/>
                <w:u w:val="none"/>
                <w:lang w:val="en-US" w:eastAsia="zh-CN" w:bidi="ar"/>
              </w:rPr>
              <w:t>公益</w:t>
            </w:r>
            <w:r>
              <w:rPr>
                <w:rFonts w:hint="default" w:ascii="Times New Roman" w:hAnsi="Times New Roman" w:eastAsia="宋体" w:cs="Times New Roman"/>
                <w:i w:val="0"/>
                <w:color w:val="000000"/>
                <w:kern w:val="0"/>
                <w:sz w:val="20"/>
                <w:szCs w:val="20"/>
                <w:highlight w:val="none"/>
                <w:u w:val="none"/>
                <w:lang w:val="en-US" w:eastAsia="zh-CN" w:bidi="ar"/>
              </w:rPr>
              <w:t>性补贴</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四、清算收入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四</w:t>
            </w:r>
            <w:r>
              <w:rPr>
                <w:rFonts w:hint="default" w:ascii="Times New Roman" w:hAnsi="Times New Roman" w:eastAsia="宋体" w:cs="Times New Roman"/>
                <w:i w:val="0"/>
                <w:color w:val="000000"/>
                <w:kern w:val="0"/>
                <w:sz w:val="20"/>
                <w:szCs w:val="20"/>
                <w:highlight w:val="none"/>
                <w:u w:val="none"/>
                <w:lang w:val="en-US" w:eastAsia="zh-CN" w:bidi="ar"/>
              </w:rPr>
              <w:t>、其他国有资本经营预算支出</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五、其他国有资本经营预算收入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收入合计</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支出合计</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国有资本经营预算转移支付支出</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国有资本经营预算上年结转收入</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64</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国有资本经营预算调出资金</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国有资本经营预算年终结余</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58</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7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收入总计</w:t>
            </w:r>
          </w:p>
        </w:tc>
        <w:tc>
          <w:tcPr>
            <w:tcW w:w="1325"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118</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143</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支出总计</w:t>
            </w:r>
          </w:p>
        </w:tc>
        <w:tc>
          <w:tcPr>
            <w:tcW w:w="116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118</w:t>
            </w:r>
          </w:p>
        </w:tc>
        <w:tc>
          <w:tcPr>
            <w:tcW w:w="1466"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b/>
                <w:i w:val="0"/>
                <w:color w:val="000000"/>
                <w:sz w:val="20"/>
                <w:szCs w:val="20"/>
                <w:highlight w:val="none"/>
                <w:u w:val="none"/>
                <w:lang w:val="en-US" w:eastAsia="zh-CN"/>
              </w:rPr>
            </w:pPr>
            <w:r>
              <w:rPr>
                <w:rFonts w:hint="default" w:ascii="Times New Roman" w:hAnsi="Times New Roman" w:cs="Times New Roman"/>
                <w:b/>
                <w:i w:val="0"/>
                <w:color w:val="000000"/>
                <w:sz w:val="20"/>
                <w:szCs w:val="20"/>
                <w:highlight w:val="none"/>
                <w:u w:val="none"/>
                <w:lang w:val="en-US" w:eastAsia="zh-CN"/>
              </w:rPr>
              <w:t>143</w:t>
            </w:r>
          </w:p>
        </w:tc>
      </w:tr>
    </w:tbl>
    <w:p>
      <w:pPr>
        <w:rPr>
          <w:rFonts w:hint="default" w:ascii="Times New Roman" w:hAnsi="Times New Roman" w:cs="Times New Roman"/>
          <w:highlight w:val="none"/>
        </w:rPr>
      </w:pPr>
    </w:p>
    <w:tbl>
      <w:tblPr>
        <w:tblStyle w:val="12"/>
        <w:tblpPr w:leftFromText="180" w:rightFromText="180" w:vertAnchor="text" w:horzAnchor="page" w:tblpX="1238" w:tblpY="176"/>
        <w:tblOverlap w:val="never"/>
        <w:tblW w:w="91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410"/>
        <w:gridCol w:w="3236"/>
        <w:gridCol w:w="1630"/>
        <w:gridCol w:w="40"/>
        <w:gridCol w:w="1590"/>
        <w:gridCol w:w="12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410" w:type="dxa"/>
            <w:noWrap w:val="0"/>
            <w:vAlign w:val="bottom"/>
          </w:tcPr>
          <w:p>
            <w:pPr>
              <w:keepNext w:val="0"/>
              <w:keepLines w:val="0"/>
              <w:widowControl/>
              <w:suppressLineNumbers w:val="0"/>
              <w:jc w:val="left"/>
              <w:textAlignment w:val="bottom"/>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w:t>
            </w:r>
            <w:r>
              <w:rPr>
                <w:rFonts w:hint="default" w:ascii="Times New Roman" w:hAnsi="Times New Roman" w:cs="Times New Roman"/>
                <w:i w:val="0"/>
                <w:color w:val="000000"/>
                <w:kern w:val="0"/>
                <w:sz w:val="20"/>
                <w:szCs w:val="20"/>
                <w:highlight w:val="none"/>
                <w:u w:val="none"/>
                <w:lang w:eastAsia="zh-CN" w:bidi="ar"/>
              </w:rPr>
              <w:t>8</w:t>
            </w:r>
          </w:p>
        </w:tc>
        <w:tc>
          <w:tcPr>
            <w:tcW w:w="3236"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670"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59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260"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9166" w:type="dxa"/>
            <w:gridSpan w:val="6"/>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本级国有资本经营预算收入表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55" w:hRule="atLeast"/>
        </w:trPr>
        <w:tc>
          <w:tcPr>
            <w:tcW w:w="141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23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70"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9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60" w:type="dxa"/>
            <w:tcBorders>
              <w:bottom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科目名称／企业</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26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1030601</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一、利润收入</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103060198</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其他国有资本经营预算企业利润收入</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1030698</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其他国有资本经营预算收入</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46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合    计</w:t>
            </w:r>
          </w:p>
        </w:tc>
        <w:tc>
          <w:tcPr>
            <w:tcW w:w="163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53</w:t>
            </w:r>
          </w:p>
        </w:tc>
        <w:tc>
          <w:tcPr>
            <w:tcW w:w="1630" w:type="dxa"/>
            <w:gridSpan w:val="2"/>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84</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bl>
    <w:p>
      <w:pPr>
        <w:jc w:val="both"/>
        <w:rPr>
          <w:rFonts w:hint="default" w:ascii="Times New Roman" w:hAnsi="Times New Roman" w:cs="Times New Roman"/>
          <w:b/>
          <w:bCs/>
          <w:sz w:val="24"/>
          <w:szCs w:val="24"/>
          <w:highlight w:val="none"/>
          <w:lang w:val="en-US" w:eastAsia="zh-Hans"/>
        </w:rPr>
      </w:pPr>
    </w:p>
    <w:p>
      <w:pPr>
        <w:jc w:val="both"/>
        <w:rPr>
          <w:rFonts w:hint="default" w:ascii="Times New Roman" w:hAnsi="Times New Roman" w:cs="Times New Roman"/>
          <w:b/>
          <w:bCs/>
          <w:sz w:val="24"/>
          <w:szCs w:val="24"/>
          <w:highlight w:val="none"/>
          <w:lang w:val="en-US" w:eastAsia="zh-Hans"/>
        </w:rPr>
      </w:pPr>
    </w:p>
    <w:tbl>
      <w:tblPr>
        <w:tblStyle w:val="12"/>
        <w:tblpPr w:leftFromText="180" w:rightFromText="180" w:vertAnchor="text" w:horzAnchor="page" w:tblpX="563" w:tblpY="11"/>
        <w:tblOverlap w:val="never"/>
        <w:tblW w:w="103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10"/>
        <w:gridCol w:w="2270"/>
        <w:gridCol w:w="960"/>
        <w:gridCol w:w="740"/>
        <w:gridCol w:w="890"/>
        <w:gridCol w:w="770"/>
        <w:gridCol w:w="720"/>
        <w:gridCol w:w="920"/>
        <w:gridCol w:w="820"/>
        <w:gridCol w:w="770"/>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10370" w:type="dxa"/>
            <w:gridSpan w:val="11"/>
            <w:noWrap w:val="0"/>
            <w:vAlign w:val="center"/>
          </w:tcPr>
          <w:p>
            <w:pPr>
              <w:keepNext w:val="0"/>
              <w:keepLines w:val="0"/>
              <w:widowControl/>
              <w:suppressLineNumbers w:val="0"/>
              <w:jc w:val="left"/>
              <w:textAlignment w:val="center"/>
              <w:rPr>
                <w:rFonts w:hint="default" w:ascii="Times New Roman" w:hAnsi="Times New Roman" w:cs="Times New Roman"/>
                <w:b/>
                <w:i w:val="0"/>
                <w:iCs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val="en-US" w:eastAsia="zh-CN" w:bidi="ar"/>
              </w:rPr>
              <w:t>19</w:t>
            </w:r>
          </w:p>
          <w:p>
            <w:pPr>
              <w:keepNext w:val="0"/>
              <w:keepLines w:val="0"/>
              <w:widowControl/>
              <w:suppressLineNumbers w:val="0"/>
              <w:jc w:val="center"/>
              <w:textAlignment w:val="center"/>
              <w:rPr>
                <w:rFonts w:hint="default" w:ascii="Times New Roman" w:hAnsi="Times New Roman" w:eastAsia="宋体" w:cs="Times New Roman"/>
                <w:b/>
                <w:i w:val="0"/>
                <w:iCs w:val="0"/>
                <w:color w:val="000000"/>
                <w:sz w:val="20"/>
                <w:szCs w:val="20"/>
                <w:highlight w:val="none"/>
                <w:u w:val="none"/>
              </w:rPr>
            </w:pPr>
            <w:r>
              <w:rPr>
                <w:rFonts w:hint="default" w:ascii="Times New Roman" w:hAnsi="Times New Roman" w:cs="Times New Roman"/>
                <w:b/>
                <w:i w:val="0"/>
                <w:iCs w:val="0"/>
                <w:color w:val="000000"/>
                <w:kern w:val="0"/>
                <w:sz w:val="20"/>
                <w:szCs w:val="20"/>
                <w:highlight w:val="none"/>
                <w:u w:val="none"/>
                <w:lang w:val="en-US" w:eastAsia="zh-CN" w:bidi="ar"/>
              </w:rPr>
              <w:t>2026</w:t>
            </w:r>
            <w:r>
              <w:rPr>
                <w:rFonts w:hint="default" w:ascii="Times New Roman" w:hAnsi="Times New Roman" w:eastAsia="宋体" w:cs="Times New Roman"/>
                <w:b/>
                <w:i w:val="0"/>
                <w:iCs w:val="0"/>
                <w:color w:val="000000"/>
                <w:kern w:val="0"/>
                <w:sz w:val="20"/>
                <w:szCs w:val="20"/>
                <w:highlight w:val="none"/>
                <w:u w:val="none"/>
                <w:lang w:val="en-US" w:eastAsia="zh-CN" w:bidi="ar"/>
              </w:rPr>
              <w:t>年</w:t>
            </w:r>
            <w:r>
              <w:rPr>
                <w:rFonts w:hint="default" w:ascii="Times New Roman" w:hAnsi="Times New Roman" w:cs="Times New Roman"/>
                <w:b/>
                <w:i w:val="0"/>
                <w:iCs w:val="0"/>
                <w:color w:val="000000"/>
                <w:kern w:val="0"/>
                <w:sz w:val="20"/>
                <w:szCs w:val="20"/>
                <w:highlight w:val="none"/>
                <w:u w:val="none"/>
                <w:lang w:val="en-US" w:eastAsia="zh-CN" w:bidi="ar"/>
              </w:rPr>
              <w:t>策勒县</w:t>
            </w:r>
            <w:r>
              <w:rPr>
                <w:rFonts w:hint="default" w:ascii="Times New Roman" w:hAnsi="Times New Roman" w:eastAsia="宋体" w:cs="Times New Roman"/>
                <w:b/>
                <w:i w:val="0"/>
                <w:iCs w:val="0"/>
                <w:color w:val="000000"/>
                <w:kern w:val="0"/>
                <w:sz w:val="20"/>
                <w:szCs w:val="20"/>
                <w:highlight w:val="none"/>
                <w:u w:val="none"/>
                <w:lang w:val="en-US" w:eastAsia="zh-CN" w:bidi="ar"/>
              </w:rPr>
              <w:t>区本级国有资本经营预算支出表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 w:hRule="atLeast"/>
        </w:trPr>
        <w:tc>
          <w:tcPr>
            <w:tcW w:w="91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270" w:type="dxa"/>
            <w:noWrap w:val="0"/>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96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4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9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7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92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70" w:type="dxa"/>
            <w:gridSpan w:val="2"/>
            <w:tcBorders>
              <w:bottom w:val="single" w:color="000000" w:sz="4" w:space="0"/>
            </w:tcBorders>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1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27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highlight w:val="none"/>
                <w:u w:val="none"/>
              </w:rPr>
            </w:pPr>
            <w:r>
              <w:rPr>
                <w:rFonts w:hint="default" w:ascii="Times New Roman" w:hAnsi="Times New Roman" w:eastAsia="宋体" w:cs="Times New Roman"/>
                <w:b/>
                <w:bCs/>
                <w:i w:val="0"/>
                <w:iCs w:val="0"/>
                <w:color w:val="000000"/>
                <w:kern w:val="0"/>
                <w:sz w:val="20"/>
                <w:szCs w:val="20"/>
                <w:highlight w:val="none"/>
                <w:u w:val="none"/>
                <w:lang w:val="en-US" w:eastAsia="zh-CN" w:bidi="ar"/>
              </w:rPr>
              <w:t>科目名称</w:t>
            </w:r>
          </w:p>
        </w:tc>
        <w:tc>
          <w:tcPr>
            <w:tcW w:w="336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323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6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1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27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资本性支出</w:t>
            </w:r>
          </w:p>
        </w:tc>
        <w:tc>
          <w:tcPr>
            <w:tcW w:w="8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费用性支出</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其他支出</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小计</w:t>
            </w:r>
          </w:p>
        </w:tc>
        <w:tc>
          <w:tcPr>
            <w:tcW w:w="9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资本性支出</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费用性支出</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其他支出</w:t>
            </w:r>
          </w:p>
        </w:tc>
        <w:tc>
          <w:tcPr>
            <w:tcW w:w="6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1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22301</w:t>
            </w:r>
          </w:p>
        </w:tc>
        <w:tc>
          <w:tcPr>
            <w:tcW w:w="2270" w:type="dxa"/>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一、解决历史遗留问题及改革成本支出</w:t>
            </w:r>
          </w:p>
        </w:tc>
        <w:tc>
          <w:tcPr>
            <w:tcW w:w="96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4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9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72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2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2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w:t>
            </w:r>
          </w:p>
        </w:tc>
        <w:tc>
          <w:tcPr>
            <w:tcW w:w="600" w:type="dxa"/>
            <w:tcBorders>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22302</w:t>
            </w:r>
          </w:p>
        </w:tc>
        <w:tc>
          <w:tcPr>
            <w:tcW w:w="22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四、</w:t>
            </w:r>
            <w:r>
              <w:rPr>
                <w:rFonts w:hint="default" w:ascii="Times New Roman" w:hAnsi="Times New Roman" w:eastAsia="宋体" w:cs="Times New Roman"/>
                <w:i w:val="0"/>
                <w:color w:val="000000"/>
                <w:kern w:val="0"/>
                <w:sz w:val="20"/>
                <w:szCs w:val="20"/>
                <w:highlight w:val="none"/>
                <w:u w:val="none"/>
                <w:lang w:val="en-US" w:eastAsia="zh-CN" w:bidi="ar"/>
              </w:rPr>
              <w:t>国有企业资本金注入</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72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2230299</w:t>
            </w:r>
          </w:p>
        </w:tc>
        <w:tc>
          <w:tcPr>
            <w:tcW w:w="22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其他国有企业资本金注入</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20</w:t>
            </w:r>
          </w:p>
        </w:tc>
        <w:tc>
          <w:tcPr>
            <w:tcW w:w="72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99</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w:t>
            </w:r>
          </w:p>
        </w:tc>
        <w:tc>
          <w:tcPr>
            <w:tcW w:w="22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20" w:type="dxa"/>
            <w:tcBorders>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2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支出合计</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9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21</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9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77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100</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18"/>
                <w:szCs w:val="18"/>
                <w:highlight w:val="none"/>
                <w:u w:val="none"/>
                <w:lang w:val="en-US" w:eastAsia="zh-CN"/>
              </w:rPr>
              <w:t>376.2%</w:t>
            </w:r>
          </w:p>
        </w:tc>
      </w:tr>
    </w:tbl>
    <w:tbl>
      <w:tblPr>
        <w:tblStyle w:val="12"/>
        <w:tblW w:w="88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813"/>
        <w:gridCol w:w="602"/>
        <w:gridCol w:w="1079"/>
        <w:gridCol w:w="216"/>
        <w:gridCol w:w="863"/>
        <w:gridCol w:w="432"/>
        <w:gridCol w:w="647"/>
        <w:gridCol w:w="648"/>
        <w:gridCol w:w="431"/>
        <w:gridCol w:w="864"/>
        <w:gridCol w:w="21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20" w:hRule="atLeast"/>
        </w:trPr>
        <w:tc>
          <w:tcPr>
            <w:tcW w:w="1813"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20</w:t>
            </w:r>
          </w:p>
        </w:tc>
        <w:tc>
          <w:tcPr>
            <w:tcW w:w="602"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079"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080"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8890" w:type="dxa"/>
            <w:gridSpan w:val="12"/>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eastAsia="宋体" w:cs="Times New Roman"/>
                <w:b/>
                <w:bCs/>
                <w:i w:val="0"/>
                <w:color w:val="000000"/>
                <w:kern w:val="0"/>
                <w:sz w:val="20"/>
                <w:szCs w:val="20"/>
                <w:highlight w:val="none"/>
                <w:u w:val="none"/>
                <w:lang w:val="en-US" w:eastAsia="zh-CN" w:bidi="ar"/>
              </w:rPr>
              <w:t>国有资本经营预算对下转移支付安排情况表（分地区、项目）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813"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295" w:type="dxa"/>
            <w:gridSpan w:val="2"/>
            <w:noWrap w:val="0"/>
            <w:vAlign w:val="center"/>
          </w:tcPr>
          <w:p>
            <w:pPr>
              <w:rPr>
                <w:rFonts w:hint="default" w:ascii="Times New Roman" w:hAnsi="Times New Roman" w:eastAsia="宋体" w:cs="Times New Roman"/>
                <w:i w:val="0"/>
                <w:color w:val="000000"/>
                <w:sz w:val="24"/>
                <w:szCs w:val="24"/>
                <w:highlight w:val="none"/>
                <w:u w:val="none"/>
              </w:rPr>
            </w:pPr>
          </w:p>
        </w:tc>
        <w:tc>
          <w:tcPr>
            <w:tcW w:w="1295" w:type="dxa"/>
            <w:gridSpan w:val="2"/>
            <w:tcBorders>
              <w:bottom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40"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项目名称</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60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bl>
    <w:p>
      <w:pPr>
        <w:pStyle w:val="10"/>
        <w:ind w:firstLine="400" w:firstLineChars="200"/>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b w:val="0"/>
          <w:bCs/>
          <w:i w:val="0"/>
          <w:color w:val="000000"/>
          <w:kern w:val="0"/>
          <w:sz w:val="20"/>
          <w:szCs w:val="20"/>
          <w:highlight w:val="none"/>
          <w:u w:val="none"/>
          <w:lang w:val="en-US" w:eastAsia="zh-CN" w:bidi="ar"/>
        </w:rPr>
        <w:t>因2026年策勒县无对下安排转移支付，此表为空。</w:t>
      </w:r>
    </w:p>
    <w:p>
      <w:pPr>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br w:type="page"/>
      </w:r>
    </w:p>
    <w:p>
      <w:pPr>
        <w:numPr>
          <w:ilvl w:val="0"/>
          <w:numId w:val="3"/>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社会保险基金预算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12"/>
        <w:tblpPr w:leftFromText="180" w:rightFromText="180" w:vertAnchor="text" w:horzAnchor="page" w:tblpX="940" w:tblpY="636"/>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
        <w:gridCol w:w="4690"/>
        <w:gridCol w:w="1398"/>
        <w:gridCol w:w="1338"/>
        <w:gridCol w:w="14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974" w:type="dxa"/>
            <w:noWrap w:val="0"/>
            <w:vAlign w:val="center"/>
          </w:tcPr>
          <w:p>
            <w:pPr>
              <w:keepNext w:val="0"/>
              <w:keepLines w:val="0"/>
              <w:widowControl/>
              <w:suppressLineNumbers w:val="0"/>
              <w:adjustRightInd w:val="0"/>
              <w:snapToGrid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21</w:t>
            </w:r>
          </w:p>
        </w:tc>
        <w:tc>
          <w:tcPr>
            <w:tcW w:w="4690" w:type="dxa"/>
            <w:noWrap w:val="0"/>
            <w:vAlign w:val="center"/>
          </w:tcPr>
          <w:p>
            <w:pPr>
              <w:adjustRightInd w:val="0"/>
              <w:snapToGrid w:val="0"/>
              <w:rPr>
                <w:rFonts w:hint="default" w:ascii="Times New Roman" w:hAnsi="Times New Roman" w:eastAsia="宋体" w:cs="Times New Roman"/>
                <w:i w:val="0"/>
                <w:color w:val="000000"/>
                <w:sz w:val="20"/>
                <w:szCs w:val="20"/>
                <w:highlight w:val="none"/>
                <w:u w:val="none"/>
              </w:rPr>
            </w:pPr>
          </w:p>
        </w:tc>
        <w:tc>
          <w:tcPr>
            <w:tcW w:w="1398" w:type="dxa"/>
            <w:noWrap w:val="0"/>
            <w:vAlign w:val="center"/>
          </w:tcPr>
          <w:p>
            <w:pPr>
              <w:adjustRightInd w:val="0"/>
              <w:snapToGrid w:val="0"/>
              <w:rPr>
                <w:rFonts w:hint="default" w:ascii="Times New Roman" w:hAnsi="Times New Roman" w:eastAsia="宋体" w:cs="Times New Roman"/>
                <w:i w:val="0"/>
                <w:color w:val="000000"/>
                <w:sz w:val="20"/>
                <w:szCs w:val="20"/>
                <w:highlight w:val="none"/>
                <w:u w:val="none"/>
              </w:rPr>
            </w:pPr>
          </w:p>
        </w:tc>
        <w:tc>
          <w:tcPr>
            <w:tcW w:w="1338" w:type="dxa"/>
            <w:noWrap w:val="0"/>
            <w:vAlign w:val="center"/>
          </w:tcPr>
          <w:p>
            <w:pPr>
              <w:adjustRightInd w:val="0"/>
              <w:snapToGrid w:val="0"/>
              <w:rPr>
                <w:rFonts w:hint="default" w:ascii="Times New Roman" w:hAnsi="Times New Roman" w:eastAsia="宋体" w:cs="Times New Roman"/>
                <w:i w:val="0"/>
                <w:color w:val="000000"/>
                <w:sz w:val="20"/>
                <w:szCs w:val="20"/>
                <w:highlight w:val="none"/>
                <w:u w:val="none"/>
              </w:rPr>
            </w:pPr>
          </w:p>
        </w:tc>
        <w:tc>
          <w:tcPr>
            <w:tcW w:w="1458" w:type="dxa"/>
            <w:noWrap w:val="0"/>
            <w:vAlign w:val="center"/>
          </w:tcPr>
          <w:p>
            <w:pPr>
              <w:adjustRightInd w:val="0"/>
              <w:snapToGrid w:val="0"/>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974" w:type="dxa"/>
            <w:noWrap w:val="0"/>
            <w:vAlign w:val="center"/>
          </w:tcPr>
          <w:p>
            <w:pPr>
              <w:adjustRightInd w:val="0"/>
              <w:snapToGrid w:val="0"/>
              <w:rPr>
                <w:rFonts w:hint="default" w:ascii="Times New Roman" w:hAnsi="Times New Roman" w:eastAsia="宋体" w:cs="Times New Roman"/>
                <w:i w:val="0"/>
                <w:color w:val="000000"/>
                <w:sz w:val="20"/>
                <w:szCs w:val="20"/>
                <w:highlight w:val="none"/>
                <w:u w:val="none"/>
              </w:rPr>
            </w:pPr>
          </w:p>
        </w:tc>
        <w:tc>
          <w:tcPr>
            <w:tcW w:w="8884" w:type="dxa"/>
            <w:gridSpan w:val="4"/>
            <w:noWrap w:val="0"/>
            <w:vAlign w:val="center"/>
          </w:tcPr>
          <w:p>
            <w:pPr>
              <w:keepNext w:val="0"/>
              <w:keepLines w:val="0"/>
              <w:widowControl/>
              <w:suppressLineNumbers w:val="0"/>
              <w:adjustRightInd w:val="0"/>
              <w:snapToGrid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9" w:hRule="atLeast"/>
        </w:trPr>
        <w:tc>
          <w:tcPr>
            <w:tcW w:w="974" w:type="dxa"/>
            <w:shd w:val="clear" w:color="auto" w:fill="FFFFFF"/>
            <w:noWrap w:val="0"/>
            <w:vAlign w:val="center"/>
          </w:tcPr>
          <w:p>
            <w:pPr>
              <w:adjustRightInd w:val="0"/>
              <w:snapToGrid w:val="0"/>
              <w:rPr>
                <w:rFonts w:hint="default" w:ascii="Times New Roman" w:hAnsi="Times New Roman" w:eastAsia="宋体" w:cs="Times New Roman"/>
                <w:i w:val="0"/>
                <w:color w:val="000000"/>
                <w:sz w:val="20"/>
                <w:szCs w:val="20"/>
                <w:highlight w:val="none"/>
                <w:u w:val="none"/>
              </w:rPr>
            </w:pPr>
          </w:p>
        </w:tc>
        <w:tc>
          <w:tcPr>
            <w:tcW w:w="4690" w:type="dxa"/>
            <w:shd w:val="clear" w:color="auto" w:fill="FFFFFF"/>
            <w:noWrap w:val="0"/>
            <w:vAlign w:val="center"/>
          </w:tcPr>
          <w:p>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398" w:type="dxa"/>
            <w:shd w:val="clear" w:color="auto" w:fill="FFFFFF"/>
            <w:noWrap w:val="0"/>
            <w:vAlign w:val="center"/>
          </w:tcPr>
          <w:p>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338" w:type="dxa"/>
            <w:shd w:val="clear" w:color="auto" w:fill="FFFFFF"/>
            <w:noWrap w:val="0"/>
            <w:vAlign w:val="center"/>
          </w:tcPr>
          <w:p>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458" w:type="dxa"/>
            <w:shd w:val="clear" w:color="auto" w:fill="FFFFFF"/>
            <w:noWrap w:val="0"/>
            <w:vAlign w:val="center"/>
          </w:tcPr>
          <w:p>
            <w:pPr>
              <w:keepNext w:val="0"/>
              <w:keepLines w:val="0"/>
              <w:widowControl/>
              <w:suppressLineNumbers w:val="0"/>
              <w:adjustRightInd w:val="0"/>
              <w:snapToGrid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4" w:hRule="atLeast"/>
        </w:trPr>
        <w:tc>
          <w:tcPr>
            <w:tcW w:w="9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w:t>
            </w:r>
          </w:p>
        </w:tc>
        <w:tc>
          <w:tcPr>
            <w:tcW w:w="13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w:t>
            </w:r>
          </w:p>
        </w:tc>
        <w:tc>
          <w:tcPr>
            <w:tcW w:w="4690"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社会保险基金收入合计</w:t>
            </w:r>
          </w:p>
        </w:tc>
        <w:tc>
          <w:tcPr>
            <w:tcW w:w="1398" w:type="dxa"/>
            <w:vMerge w:val="restart"/>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6845</w:t>
            </w:r>
          </w:p>
        </w:tc>
        <w:tc>
          <w:tcPr>
            <w:tcW w:w="1338" w:type="dxa"/>
            <w:vMerge w:val="restart"/>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6802</w:t>
            </w:r>
          </w:p>
        </w:tc>
        <w:tc>
          <w:tcPr>
            <w:tcW w:w="1458" w:type="dxa"/>
            <w:vMerge w:val="restart"/>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99.37%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val="0"/>
              <w:adjustRightInd w:val="0"/>
              <w:snapToGrid w:val="0"/>
              <w:jc w:val="left"/>
              <w:rPr>
                <w:rFonts w:hint="default" w:ascii="Times New Roman" w:hAnsi="Times New Roman" w:cs="Times New Roman"/>
                <w:highlight w:val="none"/>
              </w:rPr>
            </w:pPr>
          </w:p>
        </w:tc>
        <w:tc>
          <w:tcPr>
            <w:tcW w:w="4690" w:type="dxa"/>
            <w:vMerge w:val="continue"/>
            <w:tcBorders>
              <w:bottom w:val="single" w:color="000000" w:sz="4" w:space="0"/>
              <w:right w:val="single" w:color="000000" w:sz="4" w:space="0"/>
            </w:tcBorders>
            <w:shd w:val="clear" w:color="auto" w:fill="FFFFFF"/>
            <w:noWrap w:val="0"/>
            <w:vAlign w:val="center"/>
          </w:tcPr>
          <w:p>
            <w:pPr>
              <w:widowControl w:val="0"/>
              <w:adjustRightInd w:val="0"/>
              <w:snapToGrid w:val="0"/>
              <w:rPr>
                <w:rFonts w:hint="default" w:ascii="Times New Roman" w:hAnsi="Times New Roman" w:cs="Times New Roman"/>
                <w:highlight w:val="none"/>
              </w:rPr>
            </w:pPr>
          </w:p>
        </w:tc>
        <w:tc>
          <w:tcPr>
            <w:tcW w:w="1398" w:type="dxa"/>
            <w:vMerge w:val="continue"/>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val="0"/>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val="0"/>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1544</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1573</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101.88%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社会保险基金财政补贴收入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670</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504</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75.22%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96</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71</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73.96%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一、企业职工基本养老保险基金收入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其中：企业职工基本养老保险费收入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企业职工基本养老保险基金财政补贴收入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企业职工基本养老保险基金利息收入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二、机关事业基本养老保险基金收入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其中：机关事业单位基本养老保险费收入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机关事业单位基本养老保险基金财政补贴收入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机关事业单位基本养老保险基金利息收入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三、城乡居民基本养老保险基金收入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6845</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6802</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99.37%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其中：城乡居民基本养老保险费收入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1544</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1573</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101.88%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670</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504</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75.22%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highlight w:val="none"/>
                <w:lang w:val="en-US" w:eastAsia="zh-CN"/>
              </w:rPr>
            </w:pPr>
            <w:r>
              <w:rPr>
                <w:rFonts w:hint="default" w:ascii="Times New Roman" w:hAnsi="Times New Roman" w:cs="Times New Roman"/>
                <w:highlight w:val="none"/>
                <w:lang w:val="en-US" w:eastAsia="zh-CN"/>
              </w:rPr>
              <w:t>96</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71</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r>
              <w:rPr>
                <w:rFonts w:hint="default" w:ascii="Times New Roman" w:hAnsi="Times New Roman" w:cs="Times New Roman"/>
                <w:highlight w:val="none"/>
                <w:lang w:val="en-US" w:eastAsia="zh-CN"/>
              </w:rPr>
              <w:t>73.96%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四、职工基本医疗保险基金收入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2" w:hRule="atLeast"/>
        </w:trPr>
        <w:tc>
          <w:tcPr>
            <w:tcW w:w="9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1020301</w:t>
            </w:r>
          </w:p>
        </w:tc>
        <w:tc>
          <w:tcPr>
            <w:tcW w:w="4690"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其中：职工基本医疗保险费收入</w:t>
            </w:r>
          </w:p>
        </w:tc>
        <w:tc>
          <w:tcPr>
            <w:tcW w:w="13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bl>
    <w:tbl>
      <w:tblPr>
        <w:tblStyle w:val="12"/>
        <w:tblpPr w:leftFromText="180" w:rightFromText="180" w:vertAnchor="text" w:horzAnchor="page" w:tblpX="948" w:tblpY="419"/>
        <w:tblOverlap w:val="never"/>
        <w:tblW w:w="98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2"/>
        <w:gridCol w:w="4680"/>
        <w:gridCol w:w="1395"/>
        <w:gridCol w:w="1335"/>
        <w:gridCol w:w="14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职工基本医疗保险基金财政补贴收入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职工基本医疗保险基金利息收入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五、城乡居民基本医疗保险基金收入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其中：城乡居民基本医疗保险费收入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六、工伤保险基金收入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其中：工伤保险费收入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工伤保险基金财政补贴收入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工伤保险基金利息收入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七、失业保险基金收入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其中：失业保险费收入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失业保险财政补贴收入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1020203</w:t>
            </w:r>
          </w:p>
        </w:tc>
        <w:tc>
          <w:tcPr>
            <w:tcW w:w="4680"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失业保险利息收入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10299</w:t>
            </w:r>
          </w:p>
        </w:tc>
        <w:tc>
          <w:tcPr>
            <w:tcW w:w="4680"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八、其他社会保险基金收入-长期护理保险基金收入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1029901</w:t>
            </w:r>
          </w:p>
        </w:tc>
        <w:tc>
          <w:tcPr>
            <w:tcW w:w="4680"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其中：保险费收入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1029901</w:t>
            </w:r>
          </w:p>
        </w:tc>
        <w:tc>
          <w:tcPr>
            <w:tcW w:w="4680"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财政补贴收入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bl>
    <w:p>
      <w:pPr>
        <w:jc w:val="left"/>
        <w:rPr>
          <w:rFonts w:hint="default" w:ascii="Times New Roman" w:hAnsi="Times New Roman" w:cs="Times New Roman"/>
          <w:highlight w:val="none"/>
          <w:lang w:val="en-US" w:eastAsia="zh-Hans"/>
        </w:rPr>
      </w:pPr>
      <w:r>
        <w:rPr>
          <w:rFonts w:hint="default" w:ascii="Times New Roman" w:hAnsi="Times New Roman" w:cs="Times New Roman"/>
          <w:highlight w:val="none"/>
          <w:lang w:val="en-US" w:eastAsia="zh-CN"/>
        </w:rPr>
        <w:t>备注：请根据社会保险基金统筹级次填列数据，并按全表格式公开</w:t>
      </w:r>
      <w:r>
        <w:rPr>
          <w:rFonts w:hint="default" w:ascii="Times New Roman" w:hAnsi="Times New Roman" w:cs="Times New Roman"/>
          <w:highlight w:val="none"/>
          <w:lang w:val="en-US" w:eastAsia="zh-Hans"/>
        </w:rPr>
        <w:t>。</w:t>
      </w:r>
    </w:p>
    <w:p>
      <w:pPr>
        <w:jc w:val="left"/>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p>
      <w:pPr>
        <w:pStyle w:val="10"/>
        <w:rPr>
          <w:rFonts w:hint="default" w:ascii="Times New Roman" w:hAnsi="Times New Roman" w:cs="Times New Roman"/>
          <w:highlight w:val="none"/>
          <w:lang w:val="en-US" w:eastAsia="zh-Hans"/>
        </w:rPr>
      </w:pPr>
    </w:p>
    <w:tbl>
      <w:tblPr>
        <w:tblStyle w:val="12"/>
        <w:tblW w:w="9400" w:type="dxa"/>
        <w:tblInd w:w="-43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93"/>
        <w:gridCol w:w="4119"/>
        <w:gridCol w:w="1470"/>
        <w:gridCol w:w="1425"/>
        <w:gridCol w:w="9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06" w:hRule="atLeast"/>
        </w:trPr>
        <w:tc>
          <w:tcPr>
            <w:tcW w:w="1393" w:type="dxa"/>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表</w:t>
            </w:r>
            <w:r>
              <w:rPr>
                <w:rFonts w:hint="default" w:ascii="Times New Roman" w:hAnsi="Times New Roman" w:cs="Times New Roman"/>
                <w:highlight w:val="none"/>
                <w:lang w:eastAsia="zh-CN"/>
              </w:rPr>
              <w:t>22</w:t>
            </w:r>
          </w:p>
        </w:tc>
        <w:tc>
          <w:tcPr>
            <w:tcW w:w="4119" w:type="dxa"/>
            <w:noWrap w:val="0"/>
            <w:vAlign w:val="center"/>
          </w:tcPr>
          <w:p>
            <w:pPr>
              <w:rPr>
                <w:rFonts w:hint="default" w:ascii="Times New Roman" w:hAnsi="Times New Roman" w:cs="Times New Roman"/>
                <w:highlight w:val="none"/>
              </w:rPr>
            </w:pPr>
          </w:p>
        </w:tc>
        <w:tc>
          <w:tcPr>
            <w:tcW w:w="1470" w:type="dxa"/>
            <w:noWrap w:val="0"/>
            <w:vAlign w:val="center"/>
          </w:tcPr>
          <w:p>
            <w:pPr>
              <w:rPr>
                <w:rFonts w:hint="default" w:ascii="Times New Roman" w:hAnsi="Times New Roman" w:cs="Times New Roman"/>
                <w:highlight w:val="none"/>
              </w:rPr>
            </w:pPr>
          </w:p>
        </w:tc>
        <w:tc>
          <w:tcPr>
            <w:tcW w:w="1425" w:type="dxa"/>
            <w:noWrap w:val="0"/>
            <w:vAlign w:val="center"/>
          </w:tcPr>
          <w:p>
            <w:pPr>
              <w:rPr>
                <w:rFonts w:hint="default" w:ascii="Times New Roman" w:hAnsi="Times New Roman" w:cs="Times New Roman"/>
                <w:highlight w:val="none"/>
              </w:rPr>
            </w:pPr>
          </w:p>
        </w:tc>
        <w:tc>
          <w:tcPr>
            <w:tcW w:w="993" w:type="dxa"/>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pPr>
              <w:keepNext w:val="0"/>
              <w:keepLines w:val="0"/>
              <w:widowControl/>
              <w:suppressLineNumbers w:val="0"/>
              <w:jc w:val="center"/>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2026年策勒县社会保险基金预算支出表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3" w:hRule="atLeast"/>
        </w:trPr>
        <w:tc>
          <w:tcPr>
            <w:tcW w:w="1393" w:type="dxa"/>
            <w:shd w:val="clear" w:color="auto" w:fill="FFFFFF"/>
            <w:noWrap w:val="0"/>
            <w:vAlign w:val="center"/>
          </w:tcPr>
          <w:p>
            <w:pPr>
              <w:jc w:val="left"/>
              <w:rPr>
                <w:rFonts w:hint="default" w:ascii="Times New Roman" w:hAnsi="Times New Roman" w:cs="Times New Roman"/>
                <w:highlight w:val="none"/>
              </w:rPr>
            </w:pPr>
          </w:p>
        </w:tc>
        <w:tc>
          <w:tcPr>
            <w:tcW w:w="4119" w:type="dxa"/>
            <w:shd w:val="clear" w:color="auto" w:fill="FFFFFF"/>
            <w:noWrap w:val="0"/>
            <w:vAlign w:val="center"/>
          </w:tcPr>
          <w:p>
            <w:pPr>
              <w:jc w:val="left"/>
              <w:rPr>
                <w:rFonts w:hint="default" w:ascii="Times New Roman" w:hAnsi="Times New Roman" w:cs="Times New Roman"/>
                <w:highlight w:val="none"/>
              </w:rPr>
            </w:pPr>
          </w:p>
        </w:tc>
        <w:tc>
          <w:tcPr>
            <w:tcW w:w="3888" w:type="dxa"/>
            <w:gridSpan w:val="3"/>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2"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科目编码</w:t>
            </w:r>
          </w:p>
        </w:tc>
        <w:tc>
          <w:tcPr>
            <w:tcW w:w="411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项 目</w:t>
            </w:r>
          </w:p>
        </w:tc>
        <w:tc>
          <w:tcPr>
            <w:tcW w:w="14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b/>
                <w:bCs/>
                <w:i w:val="0"/>
                <w:color w:val="000000"/>
                <w:kern w:val="0"/>
                <w:sz w:val="16"/>
                <w:szCs w:val="16"/>
                <w:highlight w:val="none"/>
                <w:u w:val="none"/>
                <w:lang w:val="en-US" w:eastAsia="zh-CN" w:bidi="ar"/>
              </w:rPr>
              <w:t>预算数为上年</w:t>
            </w:r>
            <w:r>
              <w:rPr>
                <w:rFonts w:hint="default" w:ascii="Times New Roman" w:hAnsi="Times New Roman" w:eastAsia="宋体" w:cs="Times New Roman"/>
                <w:b/>
                <w:bCs/>
                <w:i w:val="0"/>
                <w:color w:val="000000"/>
                <w:kern w:val="0"/>
                <w:sz w:val="16"/>
                <w:szCs w:val="16"/>
                <w:highlight w:val="none"/>
                <w:u w:val="none"/>
                <w:lang w:val="en-US" w:eastAsia="zh-Hans" w:bidi="ar"/>
              </w:rPr>
              <w:t>完成</w:t>
            </w:r>
            <w:r>
              <w:rPr>
                <w:rFonts w:hint="default" w:ascii="Times New Roman" w:hAnsi="Times New Roman" w:eastAsia="宋体" w:cs="Times New Roman"/>
                <w:b/>
                <w:bCs/>
                <w:i w:val="0"/>
                <w:color w:val="000000"/>
                <w:kern w:val="0"/>
                <w:sz w:val="16"/>
                <w:szCs w:val="16"/>
                <w:highlight w:val="none"/>
                <w:u w:val="none"/>
                <w:lang w:val="en-US" w:eastAsia="zh-CN" w:bidi="ar"/>
              </w:rPr>
              <w:t>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w:t>
            </w:r>
          </w:p>
        </w:tc>
        <w:tc>
          <w:tcPr>
            <w:tcW w:w="4119"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社会保险基金支出合计</w:t>
            </w:r>
          </w:p>
        </w:tc>
        <w:tc>
          <w:tcPr>
            <w:tcW w:w="1470"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4496</w:t>
            </w:r>
          </w:p>
          <w:p>
            <w:pPr>
              <w:rPr>
                <w:rFonts w:hint="default" w:ascii="Times New Roman" w:hAnsi="Times New Roman" w:cs="Times New Roman"/>
                <w:highlight w:val="none"/>
              </w:rPr>
            </w:pPr>
          </w:p>
        </w:tc>
        <w:tc>
          <w:tcPr>
            <w:tcW w:w="1425"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4573</w:t>
            </w:r>
          </w:p>
          <w:p>
            <w:pPr>
              <w:rPr>
                <w:rFonts w:hint="default" w:ascii="Times New Roman" w:hAnsi="Times New Roman" w:cs="Times New Roman"/>
                <w:highlight w:val="none"/>
              </w:rPr>
            </w:pPr>
          </w:p>
        </w:tc>
        <w:tc>
          <w:tcPr>
            <w:tcW w:w="993"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101.71%</w:t>
            </w:r>
          </w:p>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7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一、企业职工基本养老保险基金支出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2090101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其中：基本养老金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二、机关事业基本养老保险基金支出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2091101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其中：基本养老金支出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p>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三、城乡居民基本养老保险基金支出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4496</w:t>
            </w:r>
          </w:p>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4573</w:t>
            </w:r>
          </w:p>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101.71%</w:t>
            </w:r>
          </w:p>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2091001</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其中：基础养老金支出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4473</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4563</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w:t>
            </w:r>
          </w:p>
        </w:tc>
        <w:tc>
          <w:tcPr>
            <w:tcW w:w="4119"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四、职工基本医疗保险基金支出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2090301</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其中：职工基本医疗保险统筹基金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2090302</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职工基本医疗保险个人账户基金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w:t>
            </w:r>
          </w:p>
        </w:tc>
        <w:tc>
          <w:tcPr>
            <w:tcW w:w="4119" w:type="dxa"/>
            <w:vMerge w:val="restart"/>
            <w:tcBorders>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五、城乡居民基本医疗保险基金支出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bottom w:val="single" w:color="000000" w:sz="4" w:space="0"/>
              <w:right w:val="single" w:color="000000" w:sz="4" w:space="0"/>
            </w:tcBorders>
            <w:shd w:val="clear" w:color="auto" w:fill="auto"/>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2091201</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其中：城乡居民基本医疗保险基金医疗待遇支出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2091202</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城乡居民大病保险支出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六、工伤保险基金支出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2090401</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其中：工伤保险待遇</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七、失业保险基金支出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cs="Times New Roman"/>
                <w:highlight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cs="Times New Roman"/>
                <w:highlight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2090201</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其中：失业保险金</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cs="Times New Roman"/>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9" w:hRule="exac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209</w:t>
            </w:r>
            <w:r>
              <w:rPr>
                <w:rFonts w:hint="default" w:ascii="Times New Roman" w:hAnsi="Times New Roman" w:cs="Times New Roman"/>
                <w:i w:val="0"/>
                <w:color w:val="000000"/>
                <w:kern w:val="0"/>
                <w:sz w:val="20"/>
                <w:szCs w:val="20"/>
                <w:highlight w:val="none"/>
                <w:u w:val="none"/>
                <w:lang w:val="en-US" w:eastAsia="zh-CN" w:bidi="ar"/>
              </w:rPr>
              <w:t>99</w:t>
            </w:r>
          </w:p>
        </w:tc>
        <w:tc>
          <w:tcPr>
            <w:tcW w:w="4119"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八、其他社会保险基金支出-长期护理保险基金支出</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19"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bl>
    <w:p>
      <w:pPr>
        <w:jc w:val="both"/>
        <w:rPr>
          <w:rFonts w:hint="default" w:ascii="Times New Roman" w:hAnsi="Times New Roman" w:cs="Times New Roman"/>
          <w:b w:val="0"/>
          <w:bCs w:val="0"/>
          <w:sz w:val="22"/>
          <w:szCs w:val="22"/>
          <w:highlight w:val="none"/>
          <w:lang w:val="en-US" w:eastAsia="zh-Hans"/>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r>
        <w:rPr>
          <w:rFonts w:hint="default" w:ascii="Times New Roman" w:hAnsi="Times New Roman" w:cs="Times New Roman"/>
          <w:b w:val="0"/>
          <w:bCs w:val="0"/>
          <w:sz w:val="22"/>
          <w:szCs w:val="22"/>
          <w:highlight w:val="none"/>
          <w:lang w:val="en-US" w:eastAsia="zh-Hans"/>
        </w:rPr>
        <w:t>。</w:t>
      </w:r>
    </w:p>
    <w:p>
      <w:pPr>
        <w:jc w:val="both"/>
        <w:rPr>
          <w:rFonts w:hint="default" w:ascii="Times New Roman" w:hAnsi="Times New Roman" w:cs="Times New Roman"/>
          <w:b w:val="0"/>
          <w:bCs w:val="0"/>
          <w:sz w:val="22"/>
          <w:szCs w:val="22"/>
          <w:highlight w:val="none"/>
          <w:lang w:val="en-US" w:eastAsia="zh-Hans"/>
        </w:rPr>
      </w:pPr>
    </w:p>
    <w:tbl>
      <w:tblPr>
        <w:tblStyle w:val="12"/>
        <w:tblpPr w:leftFromText="180" w:rightFromText="180" w:vertAnchor="text" w:horzAnchor="page" w:tblpX="1360" w:tblpY="312"/>
        <w:tblOverlap w:val="never"/>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93"/>
        <w:gridCol w:w="3327"/>
        <w:gridCol w:w="1620"/>
        <w:gridCol w:w="1730"/>
        <w:gridCol w:w="1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b w:val="0"/>
                <w:bCs w:val="0"/>
                <w:i w:val="0"/>
                <w:color w:val="000000"/>
                <w:kern w:val="0"/>
                <w:sz w:val="20"/>
                <w:szCs w:val="20"/>
                <w:highlight w:val="none"/>
                <w:u w:val="none"/>
                <w:lang w:val="en-US" w:eastAsia="zh-Hans" w:bidi="ar"/>
              </w:rPr>
            </w:pPr>
            <w:r>
              <w:rPr>
                <w:rFonts w:hint="default" w:ascii="Times New Roman" w:hAnsi="Times New Roman" w:cs="Times New Roman"/>
                <w:b w:val="0"/>
                <w:bCs w:val="0"/>
                <w:i w:val="0"/>
                <w:color w:val="000000"/>
                <w:kern w:val="0"/>
                <w:sz w:val="20"/>
                <w:szCs w:val="20"/>
                <w:highlight w:val="none"/>
                <w:u w:val="none"/>
                <w:lang w:val="en-US" w:eastAsia="zh-Hans" w:bidi="ar"/>
              </w:rPr>
              <w:t>表</w:t>
            </w:r>
            <w:r>
              <w:rPr>
                <w:rFonts w:hint="default" w:ascii="Times New Roman" w:hAnsi="Times New Roman" w:cs="Times New Roman"/>
                <w:b w:val="0"/>
                <w:bCs w:val="0"/>
                <w:i w:val="0"/>
                <w:color w:val="000000"/>
                <w:kern w:val="0"/>
                <w:sz w:val="20"/>
                <w:szCs w:val="20"/>
                <w:highlight w:val="none"/>
                <w:u w:val="none"/>
                <w:lang w:eastAsia="zh-Hans"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w:t>
            </w:r>
            <w:r>
              <w:rPr>
                <w:rFonts w:hint="default" w:ascii="Times New Roman" w:hAnsi="Times New Roman" w:cs="Times New Roman"/>
                <w:b/>
                <w:i w:val="0"/>
                <w:color w:val="000000"/>
                <w:kern w:val="0"/>
                <w:sz w:val="20"/>
                <w:szCs w:val="20"/>
                <w:highlight w:val="none"/>
                <w:u w:val="none"/>
                <w:lang w:val="en-US" w:eastAsia="zh-CN" w:bidi="ar"/>
              </w:rPr>
              <w:t>结余</w:t>
            </w:r>
            <w:r>
              <w:rPr>
                <w:rFonts w:hint="default" w:ascii="Times New Roman" w:hAnsi="Times New Roman" w:eastAsia="宋体" w:cs="Times New Roman"/>
                <w:b/>
                <w:i w:val="0"/>
                <w:color w:val="000000"/>
                <w:kern w:val="0"/>
                <w:sz w:val="20"/>
                <w:szCs w:val="20"/>
                <w:highlight w:val="none"/>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1393"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2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预算数为上年预计数的%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w:t>
            </w:r>
            <w:r>
              <w:rPr>
                <w:rFonts w:hint="default" w:ascii="Times New Roman" w:hAnsi="Times New Roman" w:cs="Times New Roman"/>
                <w:i w:val="0"/>
                <w:color w:val="000000"/>
                <w:kern w:val="0"/>
                <w:sz w:val="20"/>
                <w:szCs w:val="20"/>
                <w:highlight w:val="none"/>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w:t>
            </w:r>
            <w:r>
              <w:rPr>
                <w:rFonts w:hint="default" w:ascii="Times New Roman" w:hAnsi="Times New Roman" w:cs="Times New Roman"/>
                <w:i w:val="0"/>
                <w:color w:val="000000"/>
                <w:kern w:val="0"/>
                <w:sz w:val="20"/>
                <w:szCs w:val="20"/>
                <w:highlight w:val="none"/>
                <w:u w:val="none"/>
                <w:lang w:val="en-US" w:eastAsia="zh-CN" w:bidi="ar"/>
              </w:rPr>
              <w:t>年终结余</w:t>
            </w:r>
            <w:r>
              <w:rPr>
                <w:rFonts w:hint="default" w:ascii="Times New Roman" w:hAnsi="Times New Roman" w:eastAsia="宋体" w:cs="Times New Roman"/>
                <w:i w:val="0"/>
                <w:color w:val="000000"/>
                <w:kern w:val="0"/>
                <w:sz w:val="20"/>
                <w:szCs w:val="20"/>
                <w:highlight w:val="none"/>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22898</w:t>
            </w:r>
          </w:p>
          <w:p>
            <w:pPr>
              <w:rPr>
                <w:rFonts w:hint="default" w:ascii="Times New Roman" w:hAnsi="Times New Roman" w:eastAsia="宋体" w:cs="Times New Roman"/>
                <w:i w:val="0"/>
                <w:color w:val="000000"/>
                <w:sz w:val="20"/>
                <w:szCs w:val="20"/>
                <w:highlight w:val="none"/>
                <w:u w:val="none"/>
              </w:rPr>
            </w:pP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25050</w:t>
            </w:r>
          </w:p>
          <w:p>
            <w:pPr>
              <w:rPr>
                <w:rFonts w:hint="default" w:ascii="Times New Roman" w:hAnsi="Times New Roman" w:eastAsia="宋体" w:cs="Times New Roman"/>
                <w:i w:val="0"/>
                <w:color w:val="000000"/>
                <w:sz w:val="20"/>
                <w:szCs w:val="20"/>
                <w:highlight w:val="none"/>
                <w:u w:val="none"/>
              </w:rPr>
            </w:pPr>
          </w:p>
        </w:tc>
        <w:tc>
          <w:tcPr>
            <w:tcW w:w="1330"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109.4%</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三</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城乡居民</w:t>
            </w:r>
            <w:r>
              <w:rPr>
                <w:rFonts w:hint="default" w:ascii="Times New Roman" w:hAnsi="Times New Roman" w:eastAsia="宋体" w:cs="Times New Roman"/>
                <w:i w:val="0"/>
                <w:color w:val="000000"/>
                <w:kern w:val="0"/>
                <w:sz w:val="20"/>
                <w:szCs w:val="20"/>
                <w:highlight w:val="none"/>
                <w:u w:val="none"/>
                <w:lang w:val="en-US" w:eastAsia="zh-CN" w:bidi="ar"/>
              </w:rPr>
              <w:t>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22898</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25050</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六</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八、其他社会保险基金年末累计结余-长期护理保险基金年末累计结余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bl>
    <w:p>
      <w:pPr>
        <w:wordWrap/>
        <w:jc w:val="center"/>
        <w:rPr>
          <w:rFonts w:hint="default" w:ascii="Times New Roman" w:hAnsi="Times New Roman" w:cs="Times New Roman"/>
          <w:b w:val="0"/>
          <w:bCs w:val="0"/>
          <w:sz w:val="22"/>
          <w:szCs w:val="22"/>
          <w:highlight w:val="none"/>
          <w:lang w:eastAsia="zh-Hans"/>
        </w:rPr>
      </w:pPr>
    </w:p>
    <w:p>
      <w:pPr>
        <w:jc w:val="both"/>
        <w:rPr>
          <w:rFonts w:hint="default" w:ascii="Times New Roman" w:hAnsi="Times New Roman" w:eastAsia="宋体" w:cs="Times New Roman"/>
          <w:b w:val="0"/>
          <w:bCs w:val="0"/>
          <w:sz w:val="22"/>
          <w:szCs w:val="22"/>
          <w:highlight w:val="none"/>
          <w:lang w:val="en-US" w:eastAsia="zh-CN"/>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tbl>
      <w:tblPr>
        <w:tblStyle w:val="12"/>
        <w:tblW w:w="9270" w:type="dxa"/>
        <w:tblInd w:w="-3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34"/>
        <w:gridCol w:w="4140"/>
        <w:gridCol w:w="1395"/>
        <w:gridCol w:w="1461"/>
        <w:gridCol w:w="1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834"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4</w:t>
            </w:r>
          </w:p>
        </w:tc>
        <w:tc>
          <w:tcPr>
            <w:tcW w:w="414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395"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461"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440"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5" w:hRule="atLeast"/>
        </w:trPr>
        <w:tc>
          <w:tcPr>
            <w:tcW w:w="9270"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本级社会保险基金预算收入表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834"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95"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61"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4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140" w:type="dxa"/>
            <w:tcBorders>
              <w:top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w:t>
            </w:r>
          </w:p>
        </w:tc>
        <w:tc>
          <w:tcPr>
            <w:tcW w:w="1395"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461"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4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w:t>
            </w:r>
          </w:p>
        </w:tc>
        <w:tc>
          <w:tcPr>
            <w:tcW w:w="41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社会保险基金收入合计</w:t>
            </w:r>
          </w:p>
        </w:tc>
        <w:tc>
          <w:tcPr>
            <w:tcW w:w="1395" w:type="dxa"/>
            <w:vMerge w:val="restart"/>
            <w:tcBorders>
              <w:top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6845</w:t>
            </w:r>
          </w:p>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6802</w:t>
            </w:r>
          </w:p>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99.37%</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4140"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1544</w:t>
            </w:r>
          </w:p>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1573</w:t>
            </w:r>
          </w:p>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101.88%</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社会保险基金财政补贴收入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670</w:t>
            </w:r>
          </w:p>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504</w:t>
            </w:r>
          </w:p>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75.22%</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利息</w:t>
            </w:r>
            <w:r>
              <w:rPr>
                <w:rFonts w:hint="default" w:ascii="Times New Roman" w:hAnsi="Times New Roman" w:eastAsia="宋体" w:cs="Times New Roman"/>
                <w:i w:val="0"/>
                <w:color w:val="000000"/>
                <w:kern w:val="0"/>
                <w:sz w:val="20"/>
                <w:szCs w:val="20"/>
                <w:highlight w:val="none"/>
                <w:u w:val="none"/>
                <w:lang w:val="en-US" w:eastAsia="zh-CN" w:bidi="ar"/>
              </w:rPr>
              <w:t>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96</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2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1020101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企业职工基本养老保险费收入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102010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企业职工基本养老保险基金财政补贴收入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102010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企业职工基本养老保险基金利息收入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1021101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机关事业单位基本养老保险费收入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102110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机关事业单位基本养老保险基金财政补贴收入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102110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机关事业单位基本养老保险基金利息收入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10210</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三、城乡居民基本养老保险基金收入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6845</w:t>
            </w:r>
          </w:p>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6802</w:t>
            </w:r>
          </w:p>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99.37%</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1021001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城乡居民基本养老保险费收入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1544</w:t>
            </w:r>
          </w:p>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1573</w:t>
            </w:r>
          </w:p>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101.88%</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102100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城乡居民基本养老保险基金财政补贴收入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670</w:t>
            </w:r>
          </w:p>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504</w:t>
            </w:r>
          </w:p>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75.22%</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102100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城乡居民基本养老保险基金利息收入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96</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71</w:t>
            </w: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djustRightInd w:val="0"/>
              <w:snapToGrid w:val="0"/>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73.96%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四、职工基本医疗保险基金收入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1020301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职工基本医疗保险费收入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102030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职工基本医疗保险基金财政补贴收入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102030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职工基本医疗保险基金利息收入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五、城乡居民基本医疗保险基金收入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城乡居民基本医疗保险费收入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102120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城乡居民基本医疗保险基金财政补贴收入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102120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城乡居民基本医疗保险基金利息收入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10204</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六、工伤保险基金收入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1020401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工伤保险费收入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102040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工伤保险基金财政补贴收入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102040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w:t>
            </w:r>
            <w:r>
              <w:rPr>
                <w:rFonts w:hint="default" w:ascii="Times New Roman" w:hAnsi="Times New Roman" w:eastAsia="宋体" w:cs="Times New Roman"/>
                <w:i w:val="0"/>
                <w:color w:val="000000"/>
                <w:kern w:val="0"/>
                <w:sz w:val="20"/>
                <w:szCs w:val="20"/>
                <w:highlight w:val="none"/>
                <w:u w:val="none"/>
                <w:lang w:val="en-US" w:eastAsia="zh-CN" w:bidi="ar"/>
              </w:rPr>
              <w:t>工伤保险基金利息收入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七、失业保险基金收入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1020201</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：失业</w:t>
            </w:r>
            <w:r>
              <w:rPr>
                <w:rFonts w:hint="default" w:ascii="Times New Roman" w:hAnsi="Times New Roman" w:eastAsia="宋体" w:cs="Times New Roman"/>
                <w:i w:val="0"/>
                <w:color w:val="000000"/>
                <w:kern w:val="0"/>
                <w:sz w:val="20"/>
                <w:szCs w:val="20"/>
                <w:highlight w:val="none"/>
                <w:u w:val="none"/>
                <w:lang w:val="en-US" w:eastAsia="zh-CN" w:bidi="ar"/>
              </w:rPr>
              <w:t>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102020</w:t>
            </w:r>
            <w:r>
              <w:rPr>
                <w:rFonts w:hint="default" w:ascii="Times New Roman" w:hAnsi="Times New Roman" w:cs="Times New Roman"/>
                <w:i w:val="0"/>
                <w:color w:val="000000"/>
                <w:kern w:val="0"/>
                <w:sz w:val="20"/>
                <w:szCs w:val="20"/>
                <w:highlight w:val="none"/>
                <w:u w:val="none"/>
                <w:lang w:val="en-US" w:eastAsia="zh-CN" w:bidi="ar"/>
              </w:rPr>
              <w:t>2</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失业保险</w:t>
            </w:r>
            <w:r>
              <w:rPr>
                <w:rFonts w:hint="default" w:ascii="Times New Roman" w:hAnsi="Times New Roman" w:eastAsia="宋体" w:cs="Times New Roman"/>
                <w:i w:val="0"/>
                <w:color w:val="000000"/>
                <w:kern w:val="0"/>
                <w:sz w:val="20"/>
                <w:szCs w:val="20"/>
                <w:highlight w:val="none"/>
                <w:u w:val="none"/>
                <w:lang w:val="en-US" w:eastAsia="zh-CN" w:bidi="ar"/>
              </w:rPr>
              <w:t>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83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102020</w:t>
            </w:r>
            <w:r>
              <w:rPr>
                <w:rFonts w:hint="default" w:ascii="Times New Roman" w:hAnsi="Times New Roman" w:cs="Times New Roman"/>
                <w:i w:val="0"/>
                <w:color w:val="000000"/>
                <w:kern w:val="0"/>
                <w:sz w:val="20"/>
                <w:szCs w:val="20"/>
                <w:highlight w:val="none"/>
                <w:u w:val="none"/>
                <w:lang w:val="en-US" w:eastAsia="zh-CN" w:bidi="ar"/>
              </w:rPr>
              <w:t>3</w:t>
            </w:r>
          </w:p>
        </w:tc>
        <w:tc>
          <w:tcPr>
            <w:tcW w:w="4140"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w:t>
            </w:r>
            <w:r>
              <w:rPr>
                <w:rFonts w:hint="default" w:ascii="Times New Roman" w:hAnsi="Times New Roman" w:cs="Times New Roman"/>
                <w:i w:val="0"/>
                <w:color w:val="000000"/>
                <w:kern w:val="0"/>
                <w:sz w:val="20"/>
                <w:szCs w:val="20"/>
                <w:highlight w:val="none"/>
                <w:u w:val="none"/>
                <w:lang w:val="en-US" w:eastAsia="zh-CN" w:bidi="ar"/>
              </w:rPr>
              <w:t xml:space="preserve">      失业保险</w:t>
            </w:r>
            <w:r>
              <w:rPr>
                <w:rFonts w:hint="default" w:ascii="Times New Roman" w:hAnsi="Times New Roman" w:eastAsia="宋体" w:cs="Times New Roman"/>
                <w:i w:val="0"/>
                <w:color w:val="000000"/>
                <w:kern w:val="0"/>
                <w:sz w:val="20"/>
                <w:szCs w:val="20"/>
                <w:highlight w:val="none"/>
                <w:u w:val="none"/>
                <w:lang w:val="en-US" w:eastAsia="zh-CN" w:bidi="ar"/>
              </w:rPr>
              <w:t>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83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4140"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10299</w:t>
            </w:r>
          </w:p>
        </w:tc>
        <w:tc>
          <w:tcPr>
            <w:tcW w:w="4140"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ind w:firstLine="0" w:firstLineChars="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八、其他社会保险基金收入-长期护理保险基金收入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1029901</w:t>
            </w:r>
          </w:p>
        </w:tc>
        <w:tc>
          <w:tcPr>
            <w:tcW w:w="4140"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 xml:space="preserve">  其中：保险费收入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83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1029901</w:t>
            </w:r>
          </w:p>
        </w:tc>
        <w:tc>
          <w:tcPr>
            <w:tcW w:w="4140"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adjustRightInd w:val="0"/>
              <w:snapToGrid w:val="0"/>
              <w:jc w:val="left"/>
              <w:textAlignment w:val="auto"/>
              <w:rPr>
                <w:rFonts w:hint="default" w:ascii="Times New Roman" w:hAnsi="Times New Roman" w:eastAsia="宋体" w:cs="Times New Roman"/>
                <w:kern w:val="2"/>
                <w:sz w:val="21"/>
                <w:szCs w:val="24"/>
                <w:highlight w:val="none"/>
                <w:lang w:val="en-US" w:eastAsia="zh-CN" w:bidi="ar-SA"/>
              </w:rPr>
            </w:pPr>
            <w:r>
              <w:rPr>
                <w:rFonts w:hint="default" w:ascii="Times New Roman" w:hAnsi="Times New Roman" w:cs="Times New Roman"/>
                <w:highlight w:val="none"/>
                <w:lang w:val="en-US" w:eastAsia="zh-CN"/>
              </w:rPr>
              <w:t xml:space="preserve">        财政补贴收入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bl>
    <w:p>
      <w:pPr>
        <w:jc w:val="both"/>
        <w:rPr>
          <w:rFonts w:hint="default" w:ascii="Times New Roman" w:hAnsi="Times New Roman" w:cs="Times New Roman"/>
          <w:b w:val="0"/>
          <w:bCs w:val="0"/>
          <w:sz w:val="22"/>
          <w:szCs w:val="22"/>
          <w:highlight w:val="none"/>
          <w:lang w:val="en-US" w:eastAsia="zh-Hans"/>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r>
        <w:rPr>
          <w:rFonts w:hint="default" w:ascii="Times New Roman" w:hAnsi="Times New Roman" w:cs="Times New Roman"/>
          <w:b w:val="0"/>
          <w:bCs w:val="0"/>
          <w:sz w:val="22"/>
          <w:szCs w:val="22"/>
          <w:highlight w:val="none"/>
          <w:lang w:val="en-US" w:eastAsia="zh-Hans"/>
        </w:rPr>
        <w:t>。</w:t>
      </w: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p>
      <w:pPr>
        <w:jc w:val="both"/>
        <w:rPr>
          <w:rFonts w:hint="default" w:ascii="Times New Roman" w:hAnsi="Times New Roman" w:cs="Times New Roman"/>
          <w:b w:val="0"/>
          <w:bCs w:val="0"/>
          <w:sz w:val="22"/>
          <w:szCs w:val="22"/>
          <w:highlight w:val="none"/>
          <w:lang w:val="en-US" w:eastAsia="zh-Hans"/>
        </w:rPr>
      </w:pPr>
    </w:p>
    <w:tbl>
      <w:tblPr>
        <w:tblStyle w:val="12"/>
        <w:tblW w:w="9230" w:type="dxa"/>
        <w:tblInd w:w="-3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44"/>
        <w:gridCol w:w="3316"/>
        <w:gridCol w:w="1700"/>
        <w:gridCol w:w="1600"/>
        <w:gridCol w:w="14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5</w:t>
            </w:r>
          </w:p>
        </w:tc>
        <w:tc>
          <w:tcPr>
            <w:tcW w:w="3316"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70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600" w:type="dxa"/>
            <w:noWrap w:val="0"/>
            <w:vAlign w:val="center"/>
          </w:tcPr>
          <w:p>
            <w:pPr>
              <w:rPr>
                <w:rFonts w:hint="default" w:ascii="Times New Roman" w:hAnsi="Times New Roman" w:eastAsia="宋体" w:cs="Times New Roman"/>
                <w:i w:val="0"/>
                <w:color w:val="000000"/>
                <w:sz w:val="24"/>
                <w:szCs w:val="24"/>
                <w:highlight w:val="none"/>
                <w:u w:val="none"/>
              </w:rPr>
            </w:pPr>
          </w:p>
        </w:tc>
        <w:tc>
          <w:tcPr>
            <w:tcW w:w="1470" w:type="dxa"/>
            <w:noWrap w:val="0"/>
            <w:vAlign w:val="center"/>
          </w:tcPr>
          <w:p>
            <w:pPr>
              <w:rPr>
                <w:rFonts w:hint="default" w:ascii="Times New Roman" w:hAnsi="Times New Roman" w:eastAsia="宋体" w:cs="Times New Roman"/>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5" w:hRule="atLeast"/>
        </w:trPr>
        <w:tc>
          <w:tcPr>
            <w:tcW w:w="9230"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本级社会保险基金预算支出表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144"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0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11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16" w:type="dxa"/>
            <w:tcBorders>
              <w:top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70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60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70" w:type="dxa"/>
            <w:tcBorders>
              <w:top w:val="single" w:color="000000" w:sz="4" w:space="0"/>
              <w:left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社会保险基金支出合计</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4496</w:t>
            </w:r>
          </w:p>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4573</w:t>
            </w:r>
          </w:p>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101.71%</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2090101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基本养老金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2091101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基本养老金支出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20910</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三、城乡居民基本养老保险基金支出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4496</w:t>
            </w:r>
          </w:p>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4573</w:t>
            </w:r>
          </w:p>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101.71%</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2091001</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基</w:t>
            </w:r>
            <w:r>
              <w:rPr>
                <w:rFonts w:hint="default" w:ascii="Times New Roman" w:hAnsi="Times New Roman" w:cs="Times New Roman"/>
                <w:i w:val="0"/>
                <w:color w:val="000000"/>
                <w:kern w:val="0"/>
                <w:sz w:val="20"/>
                <w:szCs w:val="20"/>
                <w:highlight w:val="none"/>
                <w:u w:val="none"/>
                <w:lang w:val="en-US" w:eastAsia="zh-CN" w:bidi="ar"/>
              </w:rPr>
              <w:t>础</w:t>
            </w:r>
            <w:r>
              <w:rPr>
                <w:rFonts w:hint="default" w:ascii="Times New Roman" w:hAnsi="Times New Roman" w:eastAsia="宋体" w:cs="Times New Roman"/>
                <w:i w:val="0"/>
                <w:color w:val="000000"/>
                <w:kern w:val="0"/>
                <w:sz w:val="20"/>
                <w:szCs w:val="20"/>
                <w:highlight w:val="none"/>
                <w:u w:val="none"/>
                <w:lang w:val="en-US" w:eastAsia="zh-CN" w:bidi="ar"/>
              </w:rPr>
              <w:t>养老金支出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4473</w:t>
            </w: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4563</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highlight w:val="none"/>
                <w:lang w:val="en-US" w:eastAsia="zh-CN"/>
              </w:rPr>
              <w:t>102.01%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w:t>
            </w:r>
          </w:p>
        </w:tc>
        <w:tc>
          <w:tcPr>
            <w:tcW w:w="3316"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四、职工基本医疗保险基金支出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职工基本医疗保险统筹基金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2090302</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职工基本医疗保险个人账户基金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w:t>
            </w:r>
          </w:p>
        </w:tc>
        <w:tc>
          <w:tcPr>
            <w:tcW w:w="3316" w:type="dxa"/>
            <w:vMerge w:val="restart"/>
            <w:tcBorders>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五、城乡居民基本医疗保险基金支出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城乡居民基本医疗保险基金医疗待遇支出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2091202</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城乡居民大病保险支出</w:t>
            </w:r>
          </w:p>
        </w:tc>
        <w:tc>
          <w:tcPr>
            <w:tcW w:w="1700" w:type="dxa"/>
            <w:vMerge w:val="restart"/>
            <w:tcBorders>
              <w:top w:val="single" w:color="000000" w:sz="4" w:space="0"/>
              <w:left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20904</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六、工伤保险基金支出</w:t>
            </w:r>
          </w:p>
        </w:tc>
        <w:tc>
          <w:tcPr>
            <w:tcW w:w="1700" w:type="dxa"/>
            <w:vMerge w:val="restart"/>
            <w:tcBorders>
              <w:top w:val="single" w:color="000000" w:sz="4" w:space="0"/>
              <w:left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2090401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工伤保险待遇</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20902</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七、失业保险基金支出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2090201</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其中</w:t>
            </w:r>
            <w:r>
              <w:rPr>
                <w:rFonts w:hint="default" w:ascii="Times New Roman" w:hAnsi="Times New Roman" w:cs="Times New Roman"/>
                <w:i w:val="0"/>
                <w:color w:val="000000"/>
                <w:kern w:val="0"/>
                <w:sz w:val="20"/>
                <w:szCs w:val="20"/>
                <w:highlight w:val="none"/>
                <w:u w:val="none"/>
                <w:lang w:val="en-US" w:eastAsia="zh-CN" w:bidi="ar"/>
              </w:rPr>
              <w:t>：</w:t>
            </w:r>
            <w:r>
              <w:rPr>
                <w:rFonts w:hint="default" w:ascii="Times New Roman" w:hAnsi="Times New Roman" w:eastAsia="宋体" w:cs="Times New Roman"/>
                <w:i w:val="0"/>
                <w:color w:val="000000"/>
                <w:kern w:val="0"/>
                <w:sz w:val="20"/>
                <w:szCs w:val="20"/>
                <w:highlight w:val="none"/>
                <w:u w:val="none"/>
                <w:lang w:val="en-US" w:eastAsia="zh-CN" w:bidi="ar"/>
              </w:rPr>
              <w:t>失业保险金</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14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209</w:t>
            </w:r>
            <w:r>
              <w:rPr>
                <w:rFonts w:hint="default" w:ascii="Times New Roman" w:hAnsi="Times New Roman" w:cs="Times New Roman"/>
                <w:i w:val="0"/>
                <w:color w:val="000000"/>
                <w:kern w:val="0"/>
                <w:sz w:val="20"/>
                <w:szCs w:val="20"/>
                <w:highlight w:val="none"/>
                <w:u w:val="none"/>
                <w:lang w:val="en-US" w:eastAsia="zh-CN" w:bidi="ar"/>
              </w:rPr>
              <w:t>99</w:t>
            </w:r>
          </w:p>
        </w:tc>
        <w:tc>
          <w:tcPr>
            <w:tcW w:w="3316" w:type="dxa"/>
            <w:vMerge w:val="restart"/>
            <w:tcBorders>
              <w:top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八、其他社会保险基金支出-长期护理保险基金支出</w:t>
            </w:r>
          </w:p>
        </w:tc>
        <w:tc>
          <w:tcPr>
            <w:tcW w:w="17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114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16" w:type="dxa"/>
            <w:vMerge w:val="continue"/>
            <w:tcBorders>
              <w:top w:val="single" w:color="000000" w:sz="4" w:space="0"/>
              <w:bottom w:val="single" w:color="000000" w:sz="4" w:space="0"/>
              <w:right w:val="single" w:color="000000" w:sz="4" w:space="0"/>
            </w:tcBorders>
            <w:shd w:val="clear" w:color="auto" w:fill="auto"/>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7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0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bl>
    <w:p>
      <w:pPr>
        <w:jc w:val="both"/>
        <w:rPr>
          <w:rFonts w:hint="default" w:ascii="Times New Roman" w:hAnsi="Times New Roman" w:cs="Times New Roman"/>
          <w:b w:val="0"/>
          <w:bCs w:val="0"/>
          <w:sz w:val="22"/>
          <w:szCs w:val="22"/>
          <w:highlight w:val="none"/>
          <w:lang w:val="en-US" w:eastAsia="zh-Hans"/>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r>
        <w:rPr>
          <w:rFonts w:hint="default" w:ascii="Times New Roman" w:hAnsi="Times New Roman" w:cs="Times New Roman"/>
          <w:b w:val="0"/>
          <w:bCs w:val="0"/>
          <w:sz w:val="22"/>
          <w:szCs w:val="22"/>
          <w:highlight w:val="none"/>
          <w:lang w:val="en-US" w:eastAsia="zh-Hans"/>
        </w:rPr>
        <w:t>。</w:t>
      </w:r>
    </w:p>
    <w:tbl>
      <w:tblPr>
        <w:tblStyle w:val="12"/>
        <w:tblpPr w:leftFromText="180" w:rightFromText="180" w:vertAnchor="text" w:horzAnchor="page" w:tblpX="1360" w:tblpY="312"/>
        <w:tblOverlap w:val="never"/>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393"/>
        <w:gridCol w:w="3327"/>
        <w:gridCol w:w="1620"/>
        <w:gridCol w:w="1730"/>
        <w:gridCol w:w="1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2" w:hRule="atLeast"/>
        </w:trPr>
        <w:tc>
          <w:tcPr>
            <w:tcW w:w="9400" w:type="dxa"/>
            <w:gridSpan w:val="5"/>
            <w:shd w:val="clear" w:color="auto" w:fill="FFFFFF"/>
            <w:noWrap w:val="0"/>
            <w:vAlign w:val="center"/>
          </w:tcPr>
          <w:p>
            <w:pPr>
              <w:keepNext w:val="0"/>
              <w:keepLines w:val="0"/>
              <w:widowControl/>
              <w:suppressLineNumbers w:val="0"/>
              <w:jc w:val="left"/>
              <w:textAlignment w:val="center"/>
              <w:rPr>
                <w:rFonts w:hint="default" w:ascii="Times New Roman" w:hAnsi="Times New Roman" w:cs="Times New Roman"/>
                <w:b w:val="0"/>
                <w:bCs/>
                <w:i w:val="0"/>
                <w:color w:val="000000"/>
                <w:kern w:val="0"/>
                <w:sz w:val="20"/>
                <w:szCs w:val="20"/>
                <w:highlight w:val="none"/>
                <w:u w:val="none"/>
                <w:lang w:val="en-US" w:eastAsia="zh-Hans" w:bidi="ar"/>
              </w:rPr>
            </w:pPr>
            <w:r>
              <w:rPr>
                <w:rFonts w:hint="default" w:ascii="Times New Roman" w:hAnsi="Times New Roman" w:cs="Times New Roman"/>
                <w:b w:val="0"/>
                <w:bCs/>
                <w:i w:val="0"/>
                <w:color w:val="000000"/>
                <w:kern w:val="0"/>
                <w:sz w:val="20"/>
                <w:szCs w:val="20"/>
                <w:highlight w:val="none"/>
                <w:u w:val="none"/>
                <w:lang w:val="en-US" w:eastAsia="zh-Hans" w:bidi="ar"/>
              </w:rPr>
              <w:t>表</w:t>
            </w:r>
            <w:r>
              <w:rPr>
                <w:rFonts w:hint="default" w:ascii="Times New Roman" w:hAnsi="Times New Roman" w:cs="Times New Roman"/>
                <w:b w:val="0"/>
                <w:bCs/>
                <w:i w:val="0"/>
                <w:color w:val="000000"/>
                <w:kern w:val="0"/>
                <w:sz w:val="20"/>
                <w:szCs w:val="20"/>
                <w:highlight w:val="none"/>
                <w:u w:val="none"/>
                <w:lang w:eastAsia="zh-Hans"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cs="Times New Roman"/>
                <w:b/>
                <w:i w:val="0"/>
                <w:color w:val="000000"/>
                <w:kern w:val="0"/>
                <w:sz w:val="20"/>
                <w:szCs w:val="20"/>
                <w:highlight w:val="none"/>
                <w:u w:val="none"/>
                <w:lang w:val="en-US" w:eastAsia="zh-Hans" w:bidi="ar"/>
              </w:rPr>
              <w:t>本级</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w:t>
            </w:r>
            <w:r>
              <w:rPr>
                <w:rFonts w:hint="default" w:ascii="Times New Roman" w:hAnsi="Times New Roman" w:cs="Times New Roman"/>
                <w:b/>
                <w:i w:val="0"/>
                <w:color w:val="000000"/>
                <w:kern w:val="0"/>
                <w:sz w:val="20"/>
                <w:szCs w:val="20"/>
                <w:highlight w:val="none"/>
                <w:u w:val="none"/>
                <w:lang w:val="en-US" w:eastAsia="zh-CN" w:bidi="ar"/>
              </w:rPr>
              <w:t>结余</w:t>
            </w:r>
            <w:r>
              <w:rPr>
                <w:rFonts w:hint="default" w:ascii="Times New Roman" w:hAnsi="Times New Roman" w:eastAsia="宋体" w:cs="Times New Roman"/>
                <w:b/>
                <w:i w:val="0"/>
                <w:color w:val="000000"/>
                <w:kern w:val="0"/>
                <w:sz w:val="20"/>
                <w:szCs w:val="20"/>
                <w:highlight w:val="none"/>
                <w:u w:val="none"/>
                <w:lang w:val="en-US" w:eastAsia="zh-CN" w:bidi="ar"/>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45" w:hRule="atLeast"/>
        </w:trPr>
        <w:tc>
          <w:tcPr>
            <w:tcW w:w="1393"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62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30" w:type="dxa"/>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30" w:type="dxa"/>
            <w:shd w:val="clear" w:color="auto" w:fill="FFFFFF"/>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预算数为上年预计数的%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w:t>
            </w:r>
            <w:r>
              <w:rPr>
                <w:rFonts w:hint="default" w:ascii="Times New Roman" w:hAnsi="Times New Roman" w:cs="Times New Roman"/>
                <w:i w:val="0"/>
                <w:color w:val="000000"/>
                <w:kern w:val="0"/>
                <w:sz w:val="20"/>
                <w:szCs w:val="20"/>
                <w:highlight w:val="none"/>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w:t>
            </w:r>
            <w:r>
              <w:rPr>
                <w:rFonts w:hint="default" w:ascii="Times New Roman" w:hAnsi="Times New Roman" w:cs="Times New Roman"/>
                <w:i w:val="0"/>
                <w:color w:val="000000"/>
                <w:kern w:val="0"/>
                <w:sz w:val="20"/>
                <w:szCs w:val="20"/>
                <w:highlight w:val="none"/>
                <w:u w:val="none"/>
                <w:lang w:val="en-US" w:eastAsia="zh-CN" w:bidi="ar"/>
              </w:rPr>
              <w:t>年终结余</w:t>
            </w:r>
            <w:r>
              <w:rPr>
                <w:rFonts w:hint="default" w:ascii="Times New Roman" w:hAnsi="Times New Roman" w:eastAsia="宋体" w:cs="Times New Roman"/>
                <w:i w:val="0"/>
                <w:color w:val="000000"/>
                <w:kern w:val="0"/>
                <w:sz w:val="20"/>
                <w:szCs w:val="20"/>
                <w:highlight w:val="none"/>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22898</w:t>
            </w:r>
          </w:p>
          <w:p>
            <w:pPr>
              <w:rPr>
                <w:rFonts w:hint="default" w:ascii="Times New Roman" w:hAnsi="Times New Roman" w:eastAsia="宋体" w:cs="Times New Roman"/>
                <w:i w:val="0"/>
                <w:color w:val="000000"/>
                <w:sz w:val="20"/>
                <w:szCs w:val="20"/>
                <w:highlight w:val="none"/>
                <w:u w:val="none"/>
              </w:rPr>
            </w:pP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25050</w:t>
            </w:r>
          </w:p>
          <w:p>
            <w:pPr>
              <w:rPr>
                <w:rFonts w:hint="default" w:ascii="Times New Roman" w:hAnsi="Times New Roman" w:eastAsia="宋体" w:cs="Times New Roman"/>
                <w:i w:val="0"/>
                <w:color w:val="000000"/>
                <w:sz w:val="20"/>
                <w:szCs w:val="20"/>
                <w:highlight w:val="none"/>
                <w:u w:val="none"/>
              </w:rPr>
            </w:pPr>
          </w:p>
        </w:tc>
        <w:tc>
          <w:tcPr>
            <w:tcW w:w="1330" w:type="dxa"/>
            <w:vMerge w:val="restart"/>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109.4%</w:t>
            </w: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三</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城乡居民</w:t>
            </w:r>
            <w:r>
              <w:rPr>
                <w:rFonts w:hint="default" w:ascii="Times New Roman" w:hAnsi="Times New Roman" w:eastAsia="宋体" w:cs="Times New Roman"/>
                <w:i w:val="0"/>
                <w:color w:val="000000"/>
                <w:kern w:val="0"/>
                <w:sz w:val="20"/>
                <w:szCs w:val="20"/>
                <w:highlight w:val="none"/>
                <w:u w:val="none"/>
                <w:lang w:val="en-US" w:eastAsia="zh-CN" w:bidi="ar"/>
              </w:rPr>
              <w:t>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22898</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25050</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六</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3327" w:type="dxa"/>
            <w:tcBorders>
              <w:top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eastAsia="zh-CN"/>
              </w:rPr>
              <w:t>八、其他社会保险基金年末累计结余-长期护理保险基金年末累计结余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rPr>
                <w:rFonts w:hint="default" w:ascii="Times New Roman" w:hAnsi="Times New Roman" w:eastAsia="宋体" w:cs="Times New Roman"/>
                <w:i w:val="0"/>
                <w:color w:val="000000"/>
                <w:sz w:val="20"/>
                <w:szCs w:val="20"/>
                <w:highlight w:val="none"/>
                <w:u w:val="none"/>
              </w:rPr>
            </w:pPr>
          </w:p>
        </w:tc>
      </w:tr>
    </w:tbl>
    <w:p>
      <w:pPr>
        <w:wordWrap/>
        <w:jc w:val="center"/>
        <w:rPr>
          <w:rFonts w:hint="default" w:ascii="Times New Roman" w:hAnsi="Times New Roman" w:cs="Times New Roman"/>
          <w:b w:val="0"/>
          <w:bCs w:val="0"/>
          <w:sz w:val="22"/>
          <w:szCs w:val="22"/>
          <w:highlight w:val="none"/>
          <w:lang w:eastAsia="zh-Hans"/>
        </w:rPr>
      </w:pPr>
    </w:p>
    <w:p>
      <w:pPr>
        <w:jc w:val="both"/>
        <w:rPr>
          <w:rFonts w:hint="default" w:ascii="Times New Roman" w:hAnsi="Times New Roman" w:eastAsia="宋体" w:cs="Times New Roman"/>
          <w:b w:val="0"/>
          <w:bCs w:val="0"/>
          <w:sz w:val="22"/>
          <w:szCs w:val="22"/>
          <w:highlight w:val="none"/>
          <w:lang w:val="en-US" w:eastAsia="zh-CN"/>
        </w:rPr>
      </w:pPr>
      <w:r>
        <w:rPr>
          <w:rFonts w:hint="default" w:ascii="Times New Roman" w:hAnsi="Times New Roman" w:cs="Times New Roman"/>
          <w:b w:val="0"/>
          <w:bCs w:val="0"/>
          <w:sz w:val="22"/>
          <w:szCs w:val="22"/>
          <w:highlight w:val="none"/>
          <w:lang w:val="en-US" w:eastAsia="zh-CN"/>
        </w:rPr>
        <w:t>备注：请根据社会保险基金统筹级次填列数据，并按全表格式公开</w:t>
      </w:r>
    </w:p>
    <w:p>
      <w:pPr>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br w:type="page"/>
      </w:r>
    </w:p>
    <w:p>
      <w:pPr>
        <w:pStyle w:val="10"/>
        <w:rPr>
          <w:rFonts w:hint="default" w:ascii="Times New Roman" w:hAnsi="Times New Roman" w:cs="Times New Roman"/>
          <w:highlight w:val="none"/>
          <w:lang w:val="en-US" w:eastAsia="zh-Hans"/>
        </w:rPr>
      </w:pPr>
    </w:p>
    <w:p>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第三部分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CN"/>
        </w:rPr>
        <w:t>财政拨款</w:t>
      </w:r>
      <w:r>
        <w:rPr>
          <w:rFonts w:hint="default" w:ascii="Times New Roman" w:hAnsi="Times New Roman" w:eastAsia="黑体" w:cs="Times New Roman"/>
          <w:kern w:val="0"/>
          <w:sz w:val="32"/>
          <w:szCs w:val="32"/>
          <w:highlight w:val="none"/>
          <w:lang w:val="en-US" w:eastAsia="zh-Hans"/>
        </w:rPr>
        <w:t>“三公”经费预算情况说明</w:t>
      </w:r>
    </w:p>
    <w:tbl>
      <w:tblPr>
        <w:tblStyle w:val="12"/>
        <w:tblpPr w:leftFromText="180" w:rightFromText="180" w:vertAnchor="text" w:horzAnchor="page" w:tblpX="1126" w:tblpY="71"/>
        <w:tblOverlap w:val="never"/>
        <w:tblW w:w="90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200"/>
        <w:gridCol w:w="2058"/>
        <w:gridCol w:w="2077"/>
        <w:gridCol w:w="1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3200" w:type="dxa"/>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7</w:t>
            </w:r>
          </w:p>
        </w:tc>
        <w:tc>
          <w:tcPr>
            <w:tcW w:w="2058"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077"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723" w:type="dxa"/>
            <w:noWrap w:val="0"/>
            <w:vAlign w:val="center"/>
          </w:tcPr>
          <w:p>
            <w:pP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9058" w:type="dxa"/>
            <w:gridSpan w:val="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default" w:ascii="Times New Roman" w:hAnsi="Times New Roman" w:cs="Times New Roman"/>
                <w:b/>
                <w:i w:val="0"/>
                <w:color w:val="000000"/>
                <w:kern w:val="0"/>
                <w:sz w:val="20"/>
                <w:szCs w:val="20"/>
                <w:highlight w:val="none"/>
                <w:u w:val="none"/>
                <w:lang w:val="en-US" w:eastAsia="zh-CN" w:bidi="ar"/>
              </w:rPr>
              <w:t>策勒县财政拨款</w:t>
            </w:r>
            <w:r>
              <w:rPr>
                <w:rFonts w:hint="default" w:ascii="Times New Roman" w:hAnsi="Times New Roman" w:eastAsia="宋体" w:cs="Times New Roman"/>
                <w:b/>
                <w:i w:val="0"/>
                <w:color w:val="000000"/>
                <w:kern w:val="0"/>
                <w:sz w:val="20"/>
                <w:szCs w:val="20"/>
                <w:highlight w:val="none"/>
                <w:u w:val="none"/>
                <w:lang w:val="en-US" w:eastAsia="zh-CN" w:bidi="ar"/>
              </w:rPr>
              <w:t>“三公”经费支出预算表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32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058" w:type="dxa"/>
            <w:noWrap w:val="0"/>
            <w:vAlign w:val="center"/>
          </w:tcPr>
          <w:p>
            <w:pPr>
              <w:rPr>
                <w:rFonts w:hint="default" w:ascii="Times New Roman" w:hAnsi="Times New Roman" w:eastAsia="宋体" w:cs="Times New Roman"/>
                <w:i w:val="0"/>
                <w:color w:val="000000"/>
                <w:sz w:val="20"/>
                <w:szCs w:val="20"/>
                <w:highlight w:val="none"/>
                <w:u w:val="none"/>
              </w:rPr>
            </w:pPr>
          </w:p>
        </w:tc>
        <w:tc>
          <w:tcPr>
            <w:tcW w:w="3800"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0" w:hRule="atLeast"/>
        </w:trPr>
        <w:tc>
          <w:tcPr>
            <w:tcW w:w="3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w:t>
            </w:r>
          </w:p>
        </w:tc>
        <w:tc>
          <w:tcPr>
            <w:tcW w:w="20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172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比上年</w:t>
            </w:r>
            <w:r>
              <w:rPr>
                <w:rFonts w:hint="default" w:ascii="Times New Roman" w:hAnsi="Times New Roman" w:cs="Times New Roman"/>
                <w:b/>
                <w:i w:val="0"/>
                <w:color w:val="000000"/>
                <w:kern w:val="0"/>
                <w:sz w:val="20"/>
                <w:szCs w:val="20"/>
                <w:highlight w:val="none"/>
                <w:u w:val="none"/>
                <w:lang w:val="en-US" w:eastAsia="zh-CN" w:bidi="ar"/>
              </w:rPr>
              <w:t>预算数</w:t>
            </w:r>
            <w:r>
              <w:rPr>
                <w:rFonts w:hint="default" w:ascii="Times New Roman" w:hAnsi="Times New Roman" w:eastAsia="宋体" w:cs="Times New Roman"/>
                <w:b/>
                <w:i w:val="0"/>
                <w:color w:val="000000"/>
                <w:kern w:val="0"/>
                <w:sz w:val="20"/>
                <w:szCs w:val="20"/>
                <w:highlight w:val="none"/>
                <w:u w:val="none"/>
                <w:lang w:val="en-US" w:eastAsia="zh-CN" w:bidi="ar"/>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755</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742</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6"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1.因公出国（境）费用</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6"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2.公务接待费</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45</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44</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3.公务用车费</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710</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698</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其中：（1）公务用车运行维护费</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676</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lang w:val="en-US" w:eastAsia="zh-CN"/>
              </w:rPr>
            </w:pPr>
            <w:r>
              <w:rPr>
                <w:rFonts w:hint="default" w:ascii="Times New Roman" w:hAnsi="Times New Roman" w:eastAsia="方正小标宋_GBK" w:cs="Times New Roman"/>
                <w:i w:val="0"/>
                <w:color w:val="000000"/>
                <w:sz w:val="20"/>
                <w:szCs w:val="20"/>
                <w:highlight w:val="none"/>
                <w:u w:val="none"/>
                <w:lang w:val="en-US" w:eastAsia="zh-CN"/>
              </w:rPr>
              <w:t>665</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9"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方正小标宋_GBK"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6" w:hRule="atLeast"/>
        </w:trPr>
        <w:tc>
          <w:tcPr>
            <w:tcW w:w="32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600" w:firstLineChars="3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（2）公务用车购置费</w:t>
            </w:r>
          </w:p>
        </w:tc>
        <w:tc>
          <w:tcPr>
            <w:tcW w:w="205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34</w:t>
            </w:r>
          </w:p>
        </w:tc>
        <w:tc>
          <w:tcPr>
            <w:tcW w:w="2077"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33</w:t>
            </w:r>
          </w:p>
        </w:tc>
        <w:tc>
          <w:tcPr>
            <w:tcW w:w="172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trPr>
        <w:tc>
          <w:tcPr>
            <w:tcW w:w="320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5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207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r>
    </w:tbl>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40" w:lineRule="exact"/>
        <w:ind w:right="0" w:rightChars="0" w:firstLine="627" w:firstLineChars="200"/>
        <w:jc w:val="both"/>
        <w:textAlignment w:val="auto"/>
        <w:outlineLvl w:val="9"/>
        <w:rPr>
          <w:rFonts w:hint="default" w:ascii="Times New Roman" w:hAnsi="Times New Roman" w:eastAsia="仿宋_GB2312" w:cs="Times New Roman"/>
          <w:b/>
          <w:bCs/>
          <w:color w:val="000000"/>
          <w:kern w:val="0"/>
          <w:sz w:val="32"/>
          <w:szCs w:val="32"/>
          <w:highlight w:val="none"/>
          <w:lang w:eastAsia="zh-Hans" w:bidi="ar"/>
        </w:rPr>
      </w:pPr>
      <w:r>
        <w:rPr>
          <w:rFonts w:hint="default" w:ascii="Times New Roman" w:hAnsi="Times New Roman" w:eastAsia="楷体_GB2312" w:cs="Times New Roman"/>
          <w:b/>
          <w:bCs w:val="0"/>
          <w:spacing w:val="-4"/>
          <w:sz w:val="32"/>
          <w:szCs w:val="32"/>
          <w:highlight w:val="none"/>
          <w:lang w:val="en-US" w:eastAsia="zh-CN"/>
        </w:rPr>
        <w:t>一、财政拨款</w:t>
      </w:r>
      <w:r>
        <w:rPr>
          <w:rFonts w:hint="default" w:ascii="Times New Roman" w:hAnsi="Times New Roman" w:eastAsia="楷体_GB2312" w:cs="Times New Roman"/>
          <w:b/>
          <w:bCs w:val="0"/>
          <w:spacing w:val="-4"/>
          <w:sz w:val="32"/>
          <w:szCs w:val="32"/>
          <w:highlight w:val="none"/>
          <w:lang w:val="en-US" w:eastAsia="zh-Hans"/>
        </w:rPr>
        <w:t>“三公”经费预算</w:t>
      </w:r>
      <w:r>
        <w:rPr>
          <w:rFonts w:hint="default" w:ascii="Times New Roman" w:hAnsi="Times New Roman" w:eastAsia="楷体_GB2312" w:cs="Times New Roman"/>
          <w:b/>
          <w:bCs w:val="0"/>
          <w:spacing w:val="-4"/>
          <w:sz w:val="32"/>
          <w:szCs w:val="32"/>
          <w:highlight w:val="none"/>
          <w:lang w:val="en-US" w:eastAsia="zh-CN"/>
        </w:rPr>
        <w:t>安排</w:t>
      </w:r>
      <w:r>
        <w:rPr>
          <w:rFonts w:hint="default" w:ascii="Times New Roman" w:hAnsi="Times New Roman" w:eastAsia="楷体_GB2312" w:cs="Times New Roman"/>
          <w:b/>
          <w:bCs w:val="0"/>
          <w:spacing w:val="-4"/>
          <w:sz w:val="32"/>
          <w:szCs w:val="32"/>
          <w:highlight w:val="none"/>
          <w:lang w:val="en-US" w:eastAsia="zh-Hans"/>
        </w:rPr>
        <w:t>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40" w:lineRule="exact"/>
        <w:ind w:right="0" w:rightChars="0" w:firstLine="640"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1</w:t>
      </w:r>
      <w:r>
        <w:rPr>
          <w:rFonts w:hint="default" w:ascii="Times New Roman" w:hAnsi="Times New Roman" w:eastAsia="仿宋_GB2312" w:cs="Times New Roman"/>
          <w:b/>
          <w:bCs/>
          <w:color w:val="000000"/>
          <w:kern w:val="0"/>
          <w:sz w:val="32"/>
          <w:szCs w:val="32"/>
          <w:highlight w:val="none"/>
          <w:lang w:val="en-US"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基本情况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40" w:lineRule="exact"/>
        <w:ind w:right="0" w:rightChars="0" w:firstLine="640" w:firstLineChars="200"/>
        <w:jc w:val="both"/>
        <w:textAlignment w:val="auto"/>
        <w:outlineLvl w:val="9"/>
        <w:rPr>
          <w:rFonts w:hint="default" w:ascii="Times New Roman" w:hAnsi="Times New Roman" w:eastAsia="仿宋_GB2312" w:cs="Times New Roman"/>
          <w:b/>
          <w:bCs/>
          <w:color w:val="000000"/>
          <w:kern w:val="0"/>
          <w:sz w:val="32"/>
          <w:szCs w:val="32"/>
          <w:highlight w:val="none"/>
          <w:lang w:eastAsia="zh-Hans" w:bidi="ar"/>
        </w:rPr>
      </w:pPr>
      <w:r>
        <w:rPr>
          <w:rFonts w:hint="default" w:ascii="Times New Roman" w:hAnsi="Times New Roman" w:eastAsia="仿宋_GB2312" w:cs="Times New Roman"/>
          <w:b w:val="0"/>
          <w:bCs w:val="0"/>
          <w:color w:val="000000"/>
          <w:kern w:val="0"/>
          <w:sz w:val="32"/>
          <w:szCs w:val="32"/>
          <w:highlight w:val="none"/>
          <w:lang w:val="en-US" w:eastAsia="zh-CN" w:bidi="ar"/>
        </w:rPr>
        <w:t>2026</w:t>
      </w:r>
      <w:r>
        <w:rPr>
          <w:rFonts w:hint="default" w:ascii="Times New Roman" w:hAnsi="Times New Roman" w:eastAsia="仿宋_GB2312" w:cs="Times New Roman"/>
          <w:b w:val="0"/>
          <w:bCs w:val="0"/>
          <w:color w:val="000000"/>
          <w:kern w:val="0"/>
          <w:sz w:val="32"/>
          <w:szCs w:val="32"/>
          <w:highlight w:val="none"/>
          <w:lang w:val="en-US" w:eastAsia="zh-Hans" w:bidi="ar"/>
        </w:rPr>
        <w:t>年</w:t>
      </w:r>
      <w:r>
        <w:rPr>
          <w:rFonts w:hint="default" w:ascii="Times New Roman" w:hAnsi="Times New Roman" w:eastAsia="仿宋_GB2312" w:cs="Times New Roman"/>
          <w:color w:val="000000"/>
          <w:kern w:val="0"/>
          <w:sz w:val="32"/>
          <w:szCs w:val="32"/>
          <w:highlight w:val="none"/>
          <w:lang w:eastAsia="zh-CN" w:bidi="ar"/>
        </w:rPr>
        <w:t>策勒县</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三公</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经费预算支出</w:t>
      </w:r>
      <w:r>
        <w:rPr>
          <w:rFonts w:hint="default" w:ascii="Times New Roman" w:hAnsi="Times New Roman" w:eastAsia="仿宋_GB2312" w:cs="Times New Roman"/>
          <w:b w:val="0"/>
          <w:bCs w:val="0"/>
          <w:color w:val="000000"/>
          <w:kern w:val="0"/>
          <w:sz w:val="32"/>
          <w:szCs w:val="32"/>
          <w:highlight w:val="none"/>
          <w:lang w:val="en-US" w:eastAsia="zh-CN" w:bidi="ar"/>
        </w:rPr>
        <w:t>742</w:t>
      </w:r>
      <w:r>
        <w:rPr>
          <w:rFonts w:hint="default" w:ascii="Times New Roman" w:hAnsi="Times New Roman" w:eastAsia="仿宋_GB2312" w:cs="Times New Roman"/>
          <w:b w:val="0"/>
          <w:bCs w:val="0"/>
          <w:color w:val="000000"/>
          <w:kern w:val="0"/>
          <w:sz w:val="32"/>
          <w:szCs w:val="32"/>
          <w:highlight w:val="none"/>
          <w:lang w:val="en-US" w:eastAsia="zh-Hans" w:bidi="ar"/>
        </w:rPr>
        <w:t>万元，较上年</w:t>
      </w:r>
      <w:r>
        <w:rPr>
          <w:rFonts w:hint="default" w:ascii="Times New Roman" w:hAnsi="Times New Roman" w:eastAsia="仿宋_GB2312" w:cs="Times New Roman"/>
          <w:b w:val="0"/>
          <w:bCs w:val="0"/>
          <w:color w:val="000000"/>
          <w:kern w:val="0"/>
          <w:sz w:val="32"/>
          <w:szCs w:val="32"/>
          <w:highlight w:val="none"/>
          <w:lang w:val="en-US" w:eastAsia="zh-CN" w:bidi="ar"/>
        </w:rPr>
        <w:t>755</w:t>
      </w:r>
      <w:r>
        <w:rPr>
          <w:rFonts w:hint="default" w:ascii="Times New Roman" w:hAnsi="Times New Roman" w:eastAsia="仿宋_GB2312" w:cs="Times New Roman"/>
          <w:b w:val="0"/>
          <w:bCs w:val="0"/>
          <w:color w:val="000000"/>
          <w:kern w:val="0"/>
          <w:sz w:val="32"/>
          <w:szCs w:val="32"/>
          <w:highlight w:val="none"/>
          <w:lang w:val="en-US" w:eastAsia="zh-Hans" w:bidi="ar"/>
        </w:rPr>
        <w:t>万元，下降</w:t>
      </w:r>
      <w:r>
        <w:rPr>
          <w:rFonts w:hint="default" w:ascii="Times New Roman" w:hAnsi="Times New Roman" w:eastAsia="仿宋_GB2312" w:cs="Times New Roman"/>
          <w:b w:val="0"/>
          <w:bCs w:val="0"/>
          <w:color w:val="000000"/>
          <w:kern w:val="0"/>
          <w:sz w:val="32"/>
          <w:szCs w:val="32"/>
          <w:highlight w:val="none"/>
          <w:lang w:val="en-US" w:eastAsia="zh-CN" w:bidi="ar"/>
        </w:rPr>
        <w:t>1.7</w:t>
      </w:r>
      <w:r>
        <w:rPr>
          <w:rFonts w:hint="default" w:ascii="Times New Roman" w:hAnsi="Times New Roman" w:eastAsia="仿宋_GB2312" w:cs="Times New Roman"/>
          <w:b w:val="0"/>
          <w:bCs w:val="0"/>
          <w:color w:val="000000"/>
          <w:kern w:val="0"/>
          <w:sz w:val="32"/>
          <w:szCs w:val="32"/>
          <w:highlight w:val="none"/>
          <w:lang w:eastAsia="zh-Hans" w:bidi="ar"/>
        </w:rPr>
        <w:t>%，</w:t>
      </w:r>
      <w:r>
        <w:rPr>
          <w:rFonts w:hint="default" w:ascii="Times New Roman" w:hAnsi="Times New Roman" w:eastAsia="仿宋_GB2312" w:cs="Times New Roman"/>
          <w:b w:val="0"/>
          <w:bCs w:val="0"/>
          <w:color w:val="000000"/>
          <w:kern w:val="0"/>
          <w:sz w:val="32"/>
          <w:szCs w:val="32"/>
          <w:highlight w:val="none"/>
          <w:lang w:val="en-US" w:eastAsia="zh-Hans" w:bidi="ar"/>
        </w:rPr>
        <w:t>其中公务接待费</w:t>
      </w:r>
      <w:r>
        <w:rPr>
          <w:rFonts w:hint="default" w:ascii="Times New Roman" w:hAnsi="Times New Roman" w:eastAsia="仿宋_GB2312" w:cs="Times New Roman"/>
          <w:b w:val="0"/>
          <w:bCs w:val="0"/>
          <w:color w:val="000000"/>
          <w:kern w:val="0"/>
          <w:sz w:val="32"/>
          <w:szCs w:val="32"/>
          <w:highlight w:val="none"/>
          <w:lang w:val="en-US" w:eastAsia="zh-CN" w:bidi="ar"/>
        </w:rPr>
        <w:t>44</w:t>
      </w:r>
      <w:r>
        <w:rPr>
          <w:rFonts w:hint="default" w:ascii="Times New Roman" w:hAnsi="Times New Roman" w:eastAsia="仿宋_GB2312" w:cs="Times New Roman"/>
          <w:color w:val="000000"/>
          <w:kern w:val="0"/>
          <w:sz w:val="32"/>
          <w:szCs w:val="32"/>
          <w:highlight w:val="none"/>
          <w:lang w:val="en-US" w:eastAsia="zh-Hans" w:bidi="ar"/>
        </w:rPr>
        <w:t>万元，因公出国（境）费用</w:t>
      </w:r>
      <w:r>
        <w:rPr>
          <w:rFonts w:hint="default" w:ascii="Times New Roman" w:hAnsi="Times New Roman" w:eastAsia="仿宋_GB2312" w:cs="Times New Roman"/>
          <w:color w:val="000000"/>
          <w:kern w:val="0"/>
          <w:sz w:val="32"/>
          <w:szCs w:val="32"/>
          <w:highlight w:val="none"/>
          <w:lang w:val="en-US" w:eastAsia="zh-CN" w:bidi="ar"/>
        </w:rPr>
        <w:t>0</w:t>
      </w:r>
      <w:r>
        <w:rPr>
          <w:rFonts w:hint="default" w:ascii="Times New Roman" w:hAnsi="Times New Roman" w:eastAsia="仿宋_GB2312" w:cs="Times New Roman"/>
          <w:color w:val="000000"/>
          <w:kern w:val="0"/>
          <w:sz w:val="32"/>
          <w:szCs w:val="32"/>
          <w:highlight w:val="none"/>
          <w:lang w:val="en-US" w:eastAsia="zh-Hans" w:bidi="ar"/>
        </w:rPr>
        <w:t>万元，公车费用</w:t>
      </w:r>
      <w:r>
        <w:rPr>
          <w:rFonts w:hint="default" w:ascii="Times New Roman" w:hAnsi="Times New Roman" w:eastAsia="仿宋_GB2312" w:cs="Times New Roman"/>
          <w:color w:val="000000"/>
          <w:kern w:val="0"/>
          <w:sz w:val="32"/>
          <w:szCs w:val="32"/>
          <w:highlight w:val="none"/>
          <w:lang w:val="en-US" w:eastAsia="zh-CN" w:bidi="ar"/>
        </w:rPr>
        <w:t>698</w:t>
      </w:r>
      <w:r>
        <w:rPr>
          <w:rFonts w:hint="default" w:ascii="Times New Roman" w:hAnsi="Times New Roman" w:eastAsia="仿宋_GB2312" w:cs="Times New Roman"/>
          <w:color w:val="000000"/>
          <w:kern w:val="0"/>
          <w:sz w:val="32"/>
          <w:szCs w:val="32"/>
          <w:highlight w:val="none"/>
          <w:lang w:val="en-US" w:eastAsia="zh-Hans" w:bidi="ar"/>
        </w:rPr>
        <w:t>万元（包括车辆购置费</w:t>
      </w:r>
      <w:r>
        <w:rPr>
          <w:rFonts w:hint="default" w:ascii="Times New Roman" w:hAnsi="Times New Roman" w:eastAsia="仿宋_GB2312" w:cs="Times New Roman"/>
          <w:color w:val="000000"/>
          <w:kern w:val="0"/>
          <w:sz w:val="32"/>
          <w:szCs w:val="32"/>
          <w:highlight w:val="none"/>
          <w:lang w:val="en-US" w:eastAsia="zh-CN" w:bidi="ar"/>
        </w:rPr>
        <w:t>33</w:t>
      </w:r>
      <w:r>
        <w:rPr>
          <w:rFonts w:hint="default" w:ascii="Times New Roman" w:hAnsi="Times New Roman" w:eastAsia="仿宋_GB2312" w:cs="Times New Roman"/>
          <w:color w:val="000000"/>
          <w:kern w:val="0"/>
          <w:sz w:val="32"/>
          <w:szCs w:val="32"/>
          <w:highlight w:val="none"/>
          <w:lang w:val="en-US" w:eastAsia="zh-Hans" w:bidi="ar"/>
        </w:rPr>
        <w:t>万元，车辆运行及维护费</w:t>
      </w:r>
      <w:r>
        <w:rPr>
          <w:rFonts w:hint="default" w:ascii="Times New Roman" w:hAnsi="Times New Roman" w:eastAsia="仿宋_GB2312" w:cs="Times New Roman"/>
          <w:color w:val="000000"/>
          <w:kern w:val="0"/>
          <w:sz w:val="32"/>
          <w:szCs w:val="32"/>
          <w:highlight w:val="none"/>
          <w:lang w:val="en-US" w:eastAsia="zh-CN" w:bidi="ar"/>
        </w:rPr>
        <w:t>665</w:t>
      </w:r>
      <w:r>
        <w:rPr>
          <w:rFonts w:hint="default" w:ascii="Times New Roman" w:hAnsi="Times New Roman" w:eastAsia="仿宋_GB2312" w:cs="Times New Roman"/>
          <w:color w:val="000000"/>
          <w:kern w:val="0"/>
          <w:sz w:val="32"/>
          <w:szCs w:val="32"/>
          <w:highlight w:val="none"/>
          <w:lang w:val="en-US" w:eastAsia="zh-Hans" w:bidi="ar"/>
        </w:rPr>
        <w:t>万元）。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540" w:lineRule="exact"/>
        <w:ind w:right="0" w:rightChars="0" w:firstLine="640"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2</w:t>
      </w:r>
      <w:r>
        <w:rPr>
          <w:rFonts w:hint="default" w:ascii="Times New Roman" w:hAnsi="Times New Roman" w:eastAsia="仿宋_GB2312" w:cs="Times New Roman"/>
          <w:b/>
          <w:bCs/>
          <w:color w:val="000000"/>
          <w:kern w:val="0"/>
          <w:sz w:val="32"/>
          <w:szCs w:val="32"/>
          <w:highlight w:val="none"/>
          <w:lang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增减变化原因</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val="0"/>
        <w:snapToGrid/>
        <w:spacing w:line="540" w:lineRule="exact"/>
        <w:ind w:right="0" w:rightChars="0" w:firstLine="640" w:firstLineChars="200"/>
        <w:jc w:val="both"/>
        <w:textAlignment w:val="auto"/>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仿宋_GB2312" w:cs="Times New Roman"/>
          <w:b w:val="0"/>
          <w:bCs w:val="0"/>
          <w:color w:val="000000"/>
          <w:kern w:val="0"/>
          <w:sz w:val="32"/>
          <w:szCs w:val="32"/>
          <w:highlight w:val="none"/>
          <w:lang w:val="en-US" w:eastAsia="zh-Hans" w:bidi="ar"/>
        </w:rPr>
        <w:t>20</w:t>
      </w:r>
      <w:r>
        <w:rPr>
          <w:rFonts w:hint="default" w:ascii="Times New Roman" w:hAnsi="Times New Roman" w:eastAsia="仿宋_GB2312" w:cs="Times New Roman"/>
          <w:b w:val="0"/>
          <w:bCs w:val="0"/>
          <w:color w:val="000000"/>
          <w:kern w:val="0"/>
          <w:sz w:val="32"/>
          <w:szCs w:val="32"/>
          <w:highlight w:val="none"/>
          <w:lang w:val="en-US" w:eastAsia="zh-CN" w:bidi="ar"/>
        </w:rPr>
        <w:t>26</w:t>
      </w:r>
      <w:r>
        <w:rPr>
          <w:rFonts w:hint="default" w:ascii="Times New Roman" w:hAnsi="Times New Roman" w:eastAsia="仿宋_GB2312" w:cs="Times New Roman"/>
          <w:b w:val="0"/>
          <w:bCs w:val="0"/>
          <w:color w:val="000000"/>
          <w:kern w:val="0"/>
          <w:sz w:val="32"/>
          <w:szCs w:val="32"/>
          <w:highlight w:val="none"/>
          <w:lang w:val="en-US" w:eastAsia="zh-Hans" w:bidi="ar"/>
        </w:rPr>
        <w:t>年“三公”经费下降的主要原因是：</w:t>
      </w:r>
      <w:r>
        <w:rPr>
          <w:rFonts w:hint="default" w:ascii="Times New Roman" w:hAnsi="Times New Roman" w:eastAsia="仿宋_GB2312" w:cs="Times New Roman"/>
          <w:b w:val="0"/>
          <w:bCs w:val="0"/>
          <w:sz w:val="32"/>
          <w:szCs w:val="32"/>
          <w:lang w:val="en-US" w:eastAsia="zh-CN"/>
        </w:rPr>
        <w:t>坚持勤俭节约、量力而行，严格控制支出，</w:t>
      </w:r>
      <w:r>
        <w:rPr>
          <w:rFonts w:hint="default" w:ascii="Times New Roman" w:hAnsi="Times New Roman" w:eastAsia="仿宋" w:cs="Times New Roman"/>
          <w:color w:val="auto"/>
          <w:sz w:val="32"/>
          <w:szCs w:val="32"/>
          <w:highlight w:val="none"/>
          <w:lang w:val="en-US" w:eastAsia="zh-CN"/>
        </w:rPr>
        <w:t>进一步强化全县上下“一盘棋”思想，在预算执行上充分体现坚持勤俭节约、量力而行，严控非刚性支出，</w:t>
      </w:r>
      <w:r>
        <w:rPr>
          <w:rFonts w:hint="default" w:ascii="Times New Roman" w:hAnsi="Times New Roman" w:eastAsia="仿宋_GB2312" w:cs="Times New Roman"/>
          <w:b w:val="0"/>
          <w:bCs w:val="0"/>
          <w:sz w:val="32"/>
          <w:szCs w:val="32"/>
          <w:lang w:val="en-US" w:eastAsia="zh-CN"/>
        </w:rPr>
        <w:t>所以“三公经费”有所下降。</w:t>
      </w:r>
    </w:p>
    <w:p>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第四部分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转移支付安排情况说明</w:t>
      </w:r>
    </w:p>
    <w:p>
      <w:pPr>
        <w:spacing w:line="600" w:lineRule="exact"/>
        <w:ind w:firstLine="640" w:firstLineChars="200"/>
        <w:rPr>
          <w:rFonts w:hint="default" w:ascii="Times New Roman" w:hAnsi="Times New Roman" w:eastAsia="黑体" w:cs="Times New Roman"/>
          <w:b w:val="0"/>
          <w:bCs w:val="0"/>
          <w:sz w:val="32"/>
          <w:szCs w:val="32"/>
          <w:highlight w:val="none"/>
          <w:lang w:val="en-US" w:eastAsia="zh-Hans"/>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一、</w:t>
      </w:r>
      <w:r>
        <w:rPr>
          <w:rFonts w:hint="default" w:ascii="Times New Roman" w:hAnsi="Times New Roman" w:eastAsia="楷体_GB2312" w:cs="Times New Roman"/>
          <w:b/>
          <w:bCs w:val="0"/>
          <w:spacing w:val="-4"/>
          <w:sz w:val="32"/>
          <w:szCs w:val="32"/>
          <w:highlight w:val="none"/>
          <w:lang w:val="en-US" w:eastAsia="zh-Hans"/>
        </w:rPr>
        <w:t>一般公共预算对下转移支付情况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策勒县2026年度未安排一般公共预算对下转移支付。</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Hans"/>
        </w:rPr>
        <w:t>二、政府性基金对下转移支付情况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eastAsia="zh-Hans" w:bidi="ar"/>
        </w:rPr>
      </w:pPr>
      <w:r>
        <w:rPr>
          <w:rFonts w:hint="default" w:ascii="Times New Roman" w:hAnsi="Times New Roman" w:eastAsia="仿宋_GB2312" w:cs="Times New Roman"/>
          <w:b w:val="0"/>
          <w:bCs w:val="0"/>
          <w:color w:val="000000"/>
          <w:kern w:val="0"/>
          <w:sz w:val="32"/>
          <w:szCs w:val="32"/>
          <w:highlight w:val="none"/>
          <w:lang w:val="en-US" w:eastAsia="zh-CN" w:bidi="ar"/>
        </w:rPr>
        <w:t>策勒县2026年度未安排政府性基金预算对下转移支付。</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三、</w:t>
      </w:r>
      <w:r>
        <w:rPr>
          <w:rFonts w:hint="default" w:ascii="Times New Roman" w:hAnsi="Times New Roman" w:eastAsia="楷体_GB2312" w:cs="Times New Roman"/>
          <w:b/>
          <w:bCs w:val="0"/>
          <w:spacing w:val="-4"/>
          <w:sz w:val="32"/>
          <w:szCs w:val="32"/>
          <w:highlight w:val="none"/>
          <w:lang w:val="en-US" w:eastAsia="zh-Hans"/>
        </w:rPr>
        <w:t>国有资本经营预算对下转移支付情况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策勒县2026年度未安排国有资本经营预算对下转移支付。</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jc w:val="center"/>
        <w:textAlignment w:val="auto"/>
        <w:outlineLvl w:val="9"/>
        <w:rPr>
          <w:rFonts w:hint="default" w:ascii="Times New Roman" w:hAnsi="Times New Roman" w:eastAsia="黑体" w:cs="Times New Roman"/>
          <w:kern w:val="0"/>
          <w:sz w:val="32"/>
          <w:szCs w:val="32"/>
          <w:highlight w:val="none"/>
          <w:lang w:val="en-US" w:eastAsia="zh-Hans"/>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jc w:val="center"/>
        <w:textAlignment w:val="auto"/>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第五部分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地方政府债务</w:t>
      </w:r>
      <w:r>
        <w:rPr>
          <w:rFonts w:hint="default" w:ascii="Times New Roman" w:hAnsi="Times New Roman" w:eastAsia="黑体" w:cs="Times New Roman"/>
          <w:kern w:val="0"/>
          <w:sz w:val="32"/>
          <w:szCs w:val="32"/>
          <w:highlight w:val="none"/>
          <w:lang w:val="en-US" w:eastAsia="zh-CN"/>
        </w:rPr>
        <w:t>公开情况</w:t>
      </w:r>
    </w:p>
    <w:p>
      <w:pPr>
        <w:pStyle w:val="10"/>
        <w:rPr>
          <w:rFonts w:hint="default" w:ascii="Times New Roman" w:hAnsi="Times New Roman" w:cs="Times New Roman"/>
          <w:b w:val="0"/>
          <w:bCs w:val="0"/>
          <w:sz w:val="22"/>
          <w:szCs w:val="22"/>
          <w:highlight w:val="none"/>
          <w:lang w:eastAsia="zh-Hans"/>
        </w:rPr>
      </w:pPr>
    </w:p>
    <w:tbl>
      <w:tblPr>
        <w:tblStyle w:val="12"/>
        <w:tblW w:w="9300" w:type="dxa"/>
        <w:tblInd w:w="-26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825"/>
        <w:gridCol w:w="933"/>
        <w:gridCol w:w="754"/>
        <w:gridCol w:w="818"/>
        <w:gridCol w:w="869"/>
        <w:gridCol w:w="754"/>
        <w:gridCol w:w="543"/>
        <w:gridCol w:w="800"/>
        <w:gridCol w:w="854"/>
        <w:gridCol w:w="1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9300" w:type="dxa"/>
            <w:gridSpan w:val="10"/>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9300"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bCs/>
                <w:i w:val="0"/>
                <w:color w:val="000000"/>
                <w:kern w:val="0"/>
                <w:sz w:val="20"/>
                <w:szCs w:val="20"/>
                <w:highlight w:val="none"/>
                <w:u w:val="none"/>
                <w:lang w:val="en-US" w:eastAsia="zh-CN" w:bidi="ar"/>
              </w:rPr>
              <w:t>策勒县</w:t>
            </w:r>
            <w:r>
              <w:rPr>
                <w:rFonts w:hint="default" w:ascii="Times New Roman" w:hAnsi="Times New Roman" w:eastAsia="宋体" w:cs="Times New Roman"/>
                <w:b/>
                <w:bCs/>
                <w:i w:val="0"/>
                <w:color w:val="000000"/>
                <w:kern w:val="0"/>
                <w:sz w:val="20"/>
                <w:szCs w:val="20"/>
                <w:highlight w:val="none"/>
                <w:u w:val="none"/>
                <w:lang w:val="en-US" w:eastAsia="zh-CN" w:bidi="ar"/>
              </w:rPr>
              <w:t>政府债务限额、余额（含一般债务限额、余额和专项债务限额、余额）情况表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1825"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3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54"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18"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69"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54"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4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54"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15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18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政府债务限额总额</w:t>
            </w:r>
          </w:p>
        </w:tc>
        <w:tc>
          <w:tcPr>
            <w:tcW w:w="216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其中：新增债务限额</w:t>
            </w:r>
          </w:p>
        </w:tc>
        <w:tc>
          <w:tcPr>
            <w:tcW w:w="280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政府债务余额预计执行数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18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93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1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策勒县</w:t>
            </w:r>
          </w:p>
        </w:tc>
        <w:tc>
          <w:tcPr>
            <w:tcW w:w="93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56.09</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23.91</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32.18</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12.65</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3.25</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9.4</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55.52</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23.34</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32.18</w:t>
            </w:r>
          </w:p>
        </w:tc>
      </w:tr>
    </w:tbl>
    <w:p>
      <w:pPr>
        <w:wordWrap/>
        <w:jc w:val="both"/>
        <w:rPr>
          <w:rFonts w:hint="default" w:ascii="Times New Roman" w:hAnsi="Times New Roman" w:cs="Times New Roman"/>
          <w:b w:val="0"/>
          <w:bCs w:val="0"/>
          <w:sz w:val="22"/>
          <w:szCs w:val="22"/>
          <w:highlight w:val="none"/>
          <w:lang w:val="en-US" w:eastAsia="zh-Hans"/>
        </w:rPr>
      </w:pPr>
    </w:p>
    <w:tbl>
      <w:tblPr>
        <w:tblStyle w:val="12"/>
        <w:tblW w:w="8545" w:type="dxa"/>
        <w:tblInd w:w="3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27"/>
        <w:gridCol w:w="850"/>
        <w:gridCol w:w="1350"/>
        <w:gridCol w:w="800"/>
        <w:gridCol w:w="900"/>
        <w:gridCol w:w="709"/>
        <w:gridCol w:w="600"/>
        <w:gridCol w:w="909"/>
        <w:gridCol w:w="600"/>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8545" w:type="dxa"/>
            <w:gridSpan w:val="10"/>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8545"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3427" w:type="dxa"/>
            <w:gridSpan w:val="3"/>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8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09" w:type="dxa"/>
            <w:noWrap w:val="0"/>
            <w:vAlign w:val="center"/>
          </w:tcPr>
          <w:p>
            <w:pPr>
              <w:rPr>
                <w:rFonts w:hint="default" w:ascii="Times New Roman" w:hAnsi="Times New Roman" w:eastAsia="宋体" w:cs="Times New Roman"/>
                <w:i w:val="0"/>
                <w:color w:val="000000"/>
                <w:sz w:val="20"/>
                <w:szCs w:val="20"/>
                <w:highlight w:val="none"/>
                <w:u w:val="none"/>
              </w:rPr>
            </w:pPr>
          </w:p>
        </w:tc>
        <w:tc>
          <w:tcPr>
            <w:tcW w:w="6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109" w:type="dxa"/>
            <w:gridSpan w:val="3"/>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122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300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政府债券发行总额</w:t>
            </w:r>
          </w:p>
        </w:tc>
        <w:tc>
          <w:tcPr>
            <w:tcW w:w="220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其中：新增债券额度</w:t>
            </w:r>
          </w:p>
        </w:tc>
        <w:tc>
          <w:tcPr>
            <w:tcW w:w="2109"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其中：再融资债券额度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122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策勒县</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12.65</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12.2</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12.2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2.8</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9.4</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0.45</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0.45</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sz w:val="20"/>
                <w:szCs w:val="20"/>
                <w:highlight w:val="none"/>
                <w:u w:val="none"/>
                <w:lang w:val="en-US" w:eastAsia="zh-CN"/>
              </w:rPr>
              <w:t>0</w:t>
            </w:r>
          </w:p>
        </w:tc>
      </w:tr>
    </w:tbl>
    <w:tbl>
      <w:tblPr>
        <w:tblStyle w:val="12"/>
        <w:tblpPr w:leftFromText="180" w:rightFromText="180" w:vertAnchor="text" w:horzAnchor="page" w:tblpX="335" w:tblpY="-9482"/>
        <w:tblOverlap w:val="never"/>
        <w:tblW w:w="111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46"/>
        <w:gridCol w:w="1350"/>
        <w:gridCol w:w="795"/>
        <w:gridCol w:w="810"/>
        <w:gridCol w:w="750"/>
        <w:gridCol w:w="795"/>
        <w:gridCol w:w="840"/>
        <w:gridCol w:w="825"/>
        <w:gridCol w:w="720"/>
        <w:gridCol w:w="705"/>
        <w:gridCol w:w="840"/>
        <w:gridCol w:w="840"/>
        <w:gridCol w:w="840"/>
        <w:gridCol w:w="6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11173" w:type="dxa"/>
            <w:gridSpan w:val="14"/>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1173" w:type="dxa"/>
            <w:gridSpan w:val="1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46"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1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5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4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82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720"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45" w:type="dxa"/>
            <w:gridSpan w:val="2"/>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4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457" w:type="dxa"/>
            <w:gridSpan w:val="2"/>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17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235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地方政府债券</w:t>
            </w:r>
          </w:p>
        </w:tc>
        <w:tc>
          <w:tcPr>
            <w:tcW w:w="2460"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22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置换债券</w:t>
            </w:r>
          </w:p>
        </w:tc>
        <w:tc>
          <w:tcPr>
            <w:tcW w:w="229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小计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12.65</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3.25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12.2</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2.8</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1.96</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2.12</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0.16</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0.16</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7年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4.69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4.24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1.89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1.83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1.86</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1.74</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1.98</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3.8</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p>
        </w:tc>
      </w:tr>
    </w:tbl>
    <w:p>
      <w:pPr>
        <w:spacing w:before="0" w:line="240" w:lineRule="exact"/>
        <w:ind w:left="0" w:right="499" w:firstLine="0"/>
        <w:jc w:val="both"/>
        <w:rPr>
          <w:rFonts w:hint="default" w:ascii="Times New Roman" w:hAnsi="Times New Roman" w:cs="Times New Roman"/>
          <w:highlight w:val="none"/>
          <w:lang w:val="en-US" w:eastAsia="zh-Hans"/>
        </w:rPr>
      </w:pPr>
    </w:p>
    <w:p>
      <w:pPr>
        <w:spacing w:before="0" w:line="240" w:lineRule="exact"/>
        <w:ind w:left="0" w:right="499" w:firstLine="0"/>
        <w:jc w:val="both"/>
        <w:rPr>
          <w:rFonts w:hint="default" w:ascii="Times New Roman" w:hAnsi="Times New Roman" w:cs="Times New Roman"/>
          <w:highlight w:val="none"/>
          <w:lang w:val="en-US" w:eastAsia="zh-Hans"/>
        </w:rPr>
      </w:pPr>
    </w:p>
    <w:p>
      <w:pPr>
        <w:pStyle w:val="2"/>
        <w:rPr>
          <w:rFonts w:hint="default" w:ascii="Times New Roman" w:hAnsi="Times New Roman" w:cs="Times New Roman"/>
          <w:highlight w:val="none"/>
          <w:lang w:val="en-US" w:eastAsia="zh-Hans"/>
        </w:rPr>
      </w:pPr>
    </w:p>
    <w:p>
      <w:pPr>
        <w:pStyle w:val="2"/>
        <w:rPr>
          <w:rFonts w:hint="default" w:ascii="Times New Roman" w:hAnsi="Times New Roman" w:cs="Times New Roman"/>
          <w:highlight w:val="none"/>
          <w:lang w:val="en-US" w:eastAsia="zh-Hans"/>
        </w:rPr>
      </w:pPr>
    </w:p>
    <w:tbl>
      <w:tblPr>
        <w:tblStyle w:val="12"/>
        <w:tblpPr w:leftFromText="180" w:rightFromText="180" w:vertAnchor="text" w:horzAnchor="page" w:tblpX="577" w:tblpY="240"/>
        <w:tblOverlap w:val="never"/>
        <w:tblW w:w="220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52"/>
        <w:gridCol w:w="737"/>
        <w:gridCol w:w="1455"/>
        <w:gridCol w:w="3002"/>
        <w:gridCol w:w="2480"/>
        <w:gridCol w:w="930"/>
        <w:gridCol w:w="960"/>
        <w:gridCol w:w="994"/>
        <w:gridCol w:w="11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 w:hRule="atLeast"/>
        </w:trPr>
        <w:tc>
          <w:tcPr>
            <w:tcW w:w="11010" w:type="dxa"/>
            <w:gridSpan w:val="8"/>
            <w:noWrap w:val="0"/>
            <w:vAlign w:val="center"/>
          </w:tcPr>
          <w:p>
            <w:pPr>
              <w:keepNext w:val="0"/>
              <w:keepLines w:val="0"/>
              <w:widowControl/>
              <w:suppressLineNumbers w:val="0"/>
              <w:spacing w:line="240" w:lineRule="exact"/>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w:t>
            </w:r>
            <w:r>
              <w:rPr>
                <w:rFonts w:hint="default" w:ascii="Times New Roman" w:hAnsi="Times New Roman" w:cs="Times New Roman"/>
                <w:i w:val="0"/>
                <w:color w:val="000000"/>
                <w:kern w:val="0"/>
                <w:sz w:val="20"/>
                <w:szCs w:val="20"/>
                <w:highlight w:val="none"/>
                <w:u w:val="none"/>
                <w:lang w:val="en-US" w:eastAsia="zh-CN" w:bidi="ar"/>
              </w:rPr>
              <w:t>1</w:t>
            </w:r>
          </w:p>
        </w:tc>
        <w:tc>
          <w:tcPr>
            <w:tcW w:w="11010" w:type="dxa"/>
            <w:noWrap w:val="0"/>
            <w:vAlign w:val="center"/>
          </w:tcPr>
          <w:p>
            <w:pPr>
              <w:keepNext w:val="0"/>
              <w:keepLines w:val="0"/>
              <w:widowControl/>
              <w:suppressLineNumbers w:val="0"/>
              <w:spacing w:line="240" w:lineRule="exact"/>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30" w:hRule="atLeast"/>
        </w:trPr>
        <w:tc>
          <w:tcPr>
            <w:tcW w:w="11010" w:type="dxa"/>
            <w:gridSpan w:val="8"/>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新增债券使用情况表</w:t>
            </w:r>
          </w:p>
        </w:tc>
        <w:tc>
          <w:tcPr>
            <w:tcW w:w="11010" w:type="dxa"/>
            <w:noWrap w:val="0"/>
            <w:vAlign w:val="center"/>
          </w:tcPr>
          <w:p>
            <w:pPr>
              <w:keepNext w:val="0"/>
              <w:keepLines w:val="0"/>
              <w:widowControl/>
              <w:suppressLineNumbers w:val="0"/>
              <w:spacing w:line="240" w:lineRule="exact"/>
              <w:jc w:val="center"/>
              <w:textAlignment w:val="center"/>
              <w:rPr>
                <w:rFonts w:hint="default" w:ascii="Times New Roman" w:hAnsi="Times New Roman" w:cs="Times New Roman"/>
                <w:b/>
                <w:bCs/>
                <w:i w:val="0"/>
                <w:color w:val="000000"/>
                <w:kern w:val="0"/>
                <w:sz w:val="20"/>
                <w:szCs w:val="20"/>
                <w:highlight w:val="none"/>
                <w:u w:val="none"/>
                <w:lang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452"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737"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1455" w:type="dxa"/>
            <w:noWrap w:val="0"/>
            <w:vAlign w:val="center"/>
          </w:tcPr>
          <w:p>
            <w:pPr>
              <w:spacing w:line="240" w:lineRule="exact"/>
              <w:rPr>
                <w:rFonts w:hint="default" w:ascii="Times New Roman" w:hAnsi="Times New Roman" w:eastAsia="宋体" w:cs="Times New Roman"/>
                <w:i w:val="0"/>
                <w:color w:val="000000"/>
                <w:sz w:val="20"/>
                <w:szCs w:val="20"/>
                <w:highlight w:val="none"/>
                <w:u w:val="none"/>
              </w:rPr>
            </w:pPr>
          </w:p>
        </w:tc>
        <w:tc>
          <w:tcPr>
            <w:tcW w:w="5482" w:type="dxa"/>
            <w:gridSpan w:val="2"/>
            <w:noWrap w:val="0"/>
            <w:vAlign w:val="center"/>
          </w:tcPr>
          <w:p>
            <w:pPr>
              <w:spacing w:line="240" w:lineRule="exact"/>
              <w:jc w:val="left"/>
              <w:rPr>
                <w:rFonts w:hint="default" w:ascii="Times New Roman" w:hAnsi="Times New Roman" w:eastAsia="宋体" w:cs="Times New Roman"/>
                <w:i w:val="0"/>
                <w:color w:val="000000"/>
                <w:sz w:val="20"/>
                <w:szCs w:val="20"/>
                <w:highlight w:val="none"/>
                <w:u w:val="none"/>
              </w:rPr>
            </w:pPr>
          </w:p>
        </w:tc>
        <w:tc>
          <w:tcPr>
            <w:tcW w:w="2884" w:type="dxa"/>
            <w:gridSpan w:val="3"/>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c>
          <w:tcPr>
            <w:tcW w:w="11010" w:type="dxa"/>
            <w:noWrap w:val="0"/>
            <w:vAlign w:val="center"/>
          </w:tcPr>
          <w:p>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4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项目领域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债券性质</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实际支出</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策勒县高速公路匝道口至G315国道连接公路建设项目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center"/>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策勒县恰哈河恰哈乡红光村、克西村中小河流治理项目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0.0988</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策勒县努尔乡其曼巴格村村及下游防洪工程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4</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策勒县公安局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策勒县公安局反恐维稳阵地建设项目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0605 其他社会事业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0.0664</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策勒县无害化垃圾处理厂建设项目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0501 城镇污水垃圾收集处理</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0.2768</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策勒县G315线至昆仑村道路建设项目(机场专用公路)</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7</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策勒县道路提升改造工程（二期）</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0205 城市轨道交通和市域（郊）铁路</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0.03</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策勒县恰哈乡乌库村至昆仑瑶池道路建设项目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策勒县阿克萨音河亚克喀西村段中小河流治理项目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策勒县恰哈河固拉哈玛镇段中小河流域治理工程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0.0775</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11</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策勒县工业园区连接昆仑机场公路建设项目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策勒县昆仑山景区景点连接公路建设项目（乌鲁克萨依河昆仑桥）</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0207 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策勒县达玛沟乡荒漠治理配套现代设施农业示范园建设项目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0401 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14</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和田策勒县黑羊标准化养殖场提升建设项目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0401 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策勒县国道综合停车场建设项目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0206 城市停车场</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0.095</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策勒县排水管网建设项目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0501 城镇污水垃圾收集处理</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0.0294</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17</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策勒县先锋水库清淤增效工程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策勒县巴迪干水库清淤增效工程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策勒县博斯坦乡农村饮水巩固提升工程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策勒县新能源停车场建设项目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0206 城市停车场</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21</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策勒县固废垃圾资源化利用项目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0505 固体废弃物综合利用和资源循环利用</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策勒县老旧厂房维修改造建设项目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0908 老旧厂区改造</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0.5</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策勒县物流园区建设项目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0605 其他社会事业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24</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策勒县拉哈水库清淤增效工程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0402 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25</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策勒县粪污处理与资源化利用项目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0401 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策勒县再生资源回收利用建设项目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0505 固体废弃物综合利用和资源循环利用</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27</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和田地区策勒县政府投资项目（一）</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20 用于政府拖欠企业账款（6.30台账内）</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28</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和田地区策勒县政府投资项目（二）</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20 用于政府拖欠企业账款（6.30台账内）</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4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29</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策勒县财政局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lef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和田地区策勒县政府投资项目（三）</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20 用于政府拖欠企业账款（6.30台账内）</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both"/>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w:t>
            </w: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pacing w:line="240" w:lineRule="exact"/>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w:t>
            </w:r>
          </w:p>
        </w:tc>
        <w:tc>
          <w:tcPr>
            <w:tcW w:w="1101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exact"/>
              <w:jc w:val="right"/>
              <w:rPr>
                <w:rFonts w:hint="default" w:ascii="Times New Roman" w:hAnsi="Times New Roman" w:eastAsia="宋体" w:cs="Times New Roman"/>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11010" w:type="dxa"/>
            <w:gridSpan w:val="8"/>
            <w:noWrap w:val="0"/>
            <w:vAlign w:val="center"/>
          </w:tcPr>
          <w:p>
            <w:pPr>
              <w:keepNext w:val="0"/>
              <w:keepLines w:val="0"/>
              <w:widowControl/>
              <w:suppressLineNumbers w:val="0"/>
              <w:spacing w:line="240" w:lineRule="exact"/>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备注：新增债券额度由各地州市统筹分配至地州市本级、所辖县市区；各地县的新增债券项目具体安排，由当地按程序报本级人大批准，未在此表中列示。</w:t>
            </w:r>
          </w:p>
        </w:tc>
        <w:tc>
          <w:tcPr>
            <w:tcW w:w="11010" w:type="dxa"/>
            <w:noWrap w:val="0"/>
            <w:vAlign w:val="center"/>
          </w:tcPr>
          <w:p>
            <w:pPr>
              <w:keepNext w:val="0"/>
              <w:keepLines w:val="0"/>
              <w:widowControl/>
              <w:suppressLineNumbers w:val="0"/>
              <w:spacing w:line="240" w:lineRule="exact"/>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bl>
    <w:p>
      <w:pPr>
        <w:spacing w:before="0" w:line="240" w:lineRule="exact"/>
        <w:ind w:left="0" w:right="499" w:firstLine="0"/>
        <w:jc w:val="both"/>
        <w:rPr>
          <w:rFonts w:hint="default" w:ascii="Times New Roman" w:hAnsi="Times New Roman" w:cs="Times New Roman"/>
          <w:highlight w:val="none"/>
          <w:lang w:val="en-US" w:eastAsia="zh-Hans"/>
        </w:rPr>
      </w:pPr>
    </w:p>
    <w:tbl>
      <w:tblPr>
        <w:tblStyle w:val="12"/>
        <w:tblW w:w="8750" w:type="dxa"/>
        <w:tblInd w:w="-2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456"/>
        <w:gridCol w:w="1327"/>
        <w:gridCol w:w="873"/>
        <w:gridCol w:w="40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8750" w:type="dxa"/>
            <w:gridSpan w:val="4"/>
            <w:noWrap w:val="0"/>
            <w:vAlign w:val="center"/>
          </w:tcPr>
          <w:p>
            <w:pPr>
              <w:keepNext w:val="0"/>
              <w:keepLines w:val="0"/>
              <w:widowControl/>
              <w:suppressLineNumbers w:val="0"/>
              <w:jc w:val="left"/>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w:t>
            </w:r>
            <w:r>
              <w:rPr>
                <w:rFonts w:hint="default" w:ascii="Times New Roman" w:hAnsi="Times New Roman" w:cs="Times New Roman"/>
                <w:i w:val="0"/>
                <w:color w:val="000000"/>
                <w:kern w:val="0"/>
                <w:sz w:val="20"/>
                <w:szCs w:val="20"/>
                <w:highlight w:val="none"/>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8750" w:type="dxa"/>
            <w:gridSpan w:val="4"/>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还本付息执行及本年度还本付息预算情况表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327" w:type="dxa"/>
            <w:noWrap w:val="0"/>
            <w:vAlign w:val="center"/>
          </w:tcPr>
          <w:p>
            <w:pPr>
              <w:rPr>
                <w:rFonts w:hint="default" w:ascii="Times New Roman" w:hAnsi="Times New Roman" w:eastAsia="宋体" w:cs="Times New Roman"/>
                <w:i w:val="0"/>
                <w:color w:val="000000"/>
                <w:sz w:val="20"/>
                <w:szCs w:val="20"/>
                <w:highlight w:val="none"/>
                <w:u w:val="none"/>
              </w:rPr>
            </w:pPr>
          </w:p>
        </w:tc>
        <w:tc>
          <w:tcPr>
            <w:tcW w:w="873"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094"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XX地（州、市）</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本级</w:t>
            </w:r>
          </w:p>
        </w:tc>
        <w:tc>
          <w:tcPr>
            <w:tcW w:w="40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各县（市、区）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一、上年度发行执行数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二、上年度还本执行数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三、上年度付息执行数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四、本年度还本预算数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五、本年度付息预算数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right"/>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0.92</w:t>
            </w:r>
          </w:p>
        </w:tc>
      </w:tr>
    </w:tbl>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p>
      <w:pPr>
        <w:pStyle w:val="10"/>
        <w:rPr>
          <w:rFonts w:hint="default" w:ascii="Times New Roman" w:hAnsi="Times New Roman" w:eastAsia="宋体" w:cs="Times New Roman"/>
          <w:i w:val="0"/>
          <w:color w:val="000000"/>
          <w:kern w:val="0"/>
          <w:sz w:val="20"/>
          <w:szCs w:val="20"/>
          <w:highlight w:val="none"/>
          <w:u w:val="none"/>
          <w:lang w:val="en-US" w:eastAsia="zh-Hans" w:bidi="ar"/>
        </w:rPr>
      </w:pPr>
    </w:p>
    <w:tbl>
      <w:tblPr>
        <w:tblStyle w:val="12"/>
        <w:tblpPr w:leftFromText="180" w:rightFromText="180" w:vertAnchor="text" w:horzAnchor="page" w:tblpX="527" w:tblpY="292"/>
        <w:tblOverlap w:val="never"/>
        <w:tblW w:w="111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76"/>
        <w:gridCol w:w="630"/>
        <w:gridCol w:w="732"/>
        <w:gridCol w:w="2599"/>
        <w:gridCol w:w="2601"/>
        <w:gridCol w:w="814"/>
        <w:gridCol w:w="709"/>
        <w:gridCol w:w="872"/>
        <w:gridCol w:w="406"/>
        <w:gridCol w:w="442"/>
        <w:gridCol w:w="5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133" w:type="dxa"/>
            <w:gridSpan w:val="11"/>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default" w:ascii="Times New Roman" w:hAnsi="Times New Roman" w:cs="Times New Roman"/>
                <w:i w:val="0"/>
                <w:color w:val="000000"/>
                <w:kern w:val="0"/>
                <w:sz w:val="20"/>
                <w:szCs w:val="20"/>
                <w:highlight w:val="none"/>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11133" w:type="dxa"/>
            <w:gridSpan w:val="11"/>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i w:val="0"/>
                <w:color w:val="000000"/>
                <w:kern w:val="0"/>
                <w:sz w:val="20"/>
                <w:szCs w:val="20"/>
                <w:highlight w:val="none"/>
                <w:u w:val="none"/>
                <w:lang w:eastAsia="zh-CN" w:bidi="ar"/>
              </w:rPr>
              <w:t>本年度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政府新增债券资金使用安排情况表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776" w:type="dxa"/>
            <w:noWrap w:val="0"/>
            <w:vAlign w:val="center"/>
          </w:tcPr>
          <w:p>
            <w:pPr>
              <w:rPr>
                <w:rFonts w:hint="default" w:ascii="Times New Roman" w:hAnsi="Times New Roman" w:eastAsia="宋体" w:cs="Times New Roman"/>
                <w:i w:val="0"/>
                <w:color w:val="000000"/>
                <w:sz w:val="20"/>
                <w:szCs w:val="20"/>
                <w:highlight w:val="none"/>
                <w:u w:val="none"/>
              </w:rPr>
            </w:pPr>
          </w:p>
        </w:tc>
        <w:tc>
          <w:tcPr>
            <w:tcW w:w="63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32"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200" w:type="dxa"/>
            <w:gridSpan w:val="2"/>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814"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709"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872"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06"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42"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52"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7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7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26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投向领域</w:t>
            </w:r>
          </w:p>
        </w:tc>
        <w:tc>
          <w:tcPr>
            <w:tcW w:w="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87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4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4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还本付息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7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653225</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策勒县商务和工业信息化局</w:t>
            </w:r>
          </w:p>
        </w:tc>
        <w:tc>
          <w:tcPr>
            <w:tcW w:w="259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rPr>
              <w:t>2026年和田地区策勒县政府投资项目</w:t>
            </w:r>
          </w:p>
        </w:tc>
        <w:tc>
          <w:tcPr>
            <w:tcW w:w="260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20 用于政府拖欠企业账款（6.30台账内）</w:t>
            </w:r>
          </w:p>
        </w:tc>
        <w:tc>
          <w:tcPr>
            <w:tcW w:w="81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专项债券</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0.5</w:t>
            </w: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4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1.97</w:t>
            </w: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1133" w:type="dxa"/>
            <w:gridSpan w:val="11"/>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备注：新增债券额度由各地州市统筹分配至地州市本级、所辖县市区；各地县的新增债券项目具体安排，由当地按程序报本级人大批准，未在此表中列示。</w:t>
            </w:r>
          </w:p>
          <w:p>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r>
    </w:tbl>
    <w:tbl>
      <w:tblPr>
        <w:tblStyle w:val="12"/>
        <w:tblW w:w="9850" w:type="dxa"/>
        <w:tblInd w:w="-6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16"/>
        <w:gridCol w:w="1584"/>
        <w:gridCol w:w="1580"/>
        <w:gridCol w:w="2180"/>
        <w:gridCol w:w="2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9850" w:type="dxa"/>
            <w:gridSpan w:val="5"/>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default" w:ascii="Times New Roman" w:hAnsi="Times New Roman" w:cs="Times New Roman"/>
                <w:i w:val="0"/>
                <w:color w:val="000000"/>
                <w:kern w:val="0"/>
                <w:sz w:val="20"/>
                <w:szCs w:val="20"/>
                <w:highlight w:val="none"/>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9850" w:type="dxa"/>
            <w:gridSpan w:val="5"/>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本级政府专项债务表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2316"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584"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58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18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190" w:type="dxa"/>
            <w:noWrap w:val="0"/>
            <w:vAlign w:val="center"/>
          </w:tcPr>
          <w:p>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2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地区</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专项债券收入</w:t>
            </w:r>
          </w:p>
        </w:tc>
        <w:tc>
          <w:tcPr>
            <w:tcW w:w="15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专项债券支出</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专项债券还本付息</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专项收入情况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23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cs="Times New Roman"/>
                <w:i w:val="0"/>
                <w:color w:val="000000"/>
                <w:kern w:val="0"/>
                <w:sz w:val="20"/>
                <w:szCs w:val="20"/>
                <w:highlight w:val="none"/>
                <w:u w:val="none"/>
                <w:lang w:val="en-US" w:eastAsia="zh-CN" w:bidi="ar"/>
              </w:rPr>
              <w:t>策勒县本级</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9.4</w:t>
            </w:r>
          </w:p>
        </w:tc>
        <w:tc>
          <w:tcPr>
            <w:tcW w:w="15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3.22</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0.92</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Times New Roman" w:hAnsi="Times New Roman" w:eastAsia="宋体" w:cs="Times New Roman"/>
                <w:i w:val="0"/>
                <w:color w:val="000000"/>
                <w:sz w:val="20"/>
                <w:szCs w:val="20"/>
                <w:highlight w:val="none"/>
                <w:u w:val="none"/>
                <w:lang w:val="en-US" w:eastAsia="zh-CN"/>
              </w:rPr>
            </w:pPr>
            <w:r>
              <w:rPr>
                <w:rFonts w:hint="default" w:ascii="Times New Roman" w:hAnsi="Times New Roman" w:cs="Times New Roman"/>
                <w:i w:val="0"/>
                <w:color w:val="000000"/>
                <w:sz w:val="20"/>
                <w:szCs w:val="20"/>
                <w:highlight w:val="none"/>
                <w:u w:val="none"/>
                <w:lang w:val="en-US" w:eastAsia="zh-CN"/>
              </w:rPr>
              <w:t>0.092</w:t>
            </w:r>
          </w:p>
        </w:tc>
      </w:tr>
    </w:tbl>
    <w:tbl>
      <w:tblPr>
        <w:tblStyle w:val="12"/>
        <w:tblpPr w:leftFromText="180" w:rightFromText="180" w:vertAnchor="text" w:horzAnchor="page" w:tblpX="377" w:tblpY="330"/>
        <w:tblOverlap w:val="never"/>
        <w:tblW w:w="112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10"/>
        <w:gridCol w:w="1515"/>
        <w:gridCol w:w="1560"/>
        <w:gridCol w:w="2610"/>
        <w:gridCol w:w="900"/>
        <w:gridCol w:w="1050"/>
        <w:gridCol w:w="1110"/>
        <w:gridCol w:w="540"/>
        <w:gridCol w:w="495"/>
        <w:gridCol w:w="7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69" w:hRule="atLeast"/>
        </w:trPr>
        <w:tc>
          <w:tcPr>
            <w:tcW w:w="11218" w:type="dxa"/>
            <w:gridSpan w:val="10"/>
            <w:noWrap w:val="0"/>
            <w:vAlign w:val="center"/>
          </w:tcPr>
          <w:p>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eastAsia" w:ascii="Times New Roman" w:hAnsi="Times New Roman" w:cs="Times New Roman"/>
                <w:i w:val="0"/>
                <w:color w:val="000000"/>
                <w:kern w:val="0"/>
                <w:sz w:val="20"/>
                <w:szCs w:val="20"/>
                <w:highlight w:val="none"/>
                <w:u w:val="none"/>
                <w:lang w:val="en-US" w:eastAsia="zh-CN" w:bidi="ar"/>
              </w:rPr>
              <w:t>表</w:t>
            </w:r>
            <w:r>
              <w:rPr>
                <w:rFonts w:hint="default" w:ascii="Times New Roman" w:hAnsi="Times New Roman" w:eastAsia="宋体" w:cs="Times New Roman"/>
                <w:i w:val="0"/>
                <w:color w:val="000000"/>
                <w:kern w:val="0"/>
                <w:sz w:val="20"/>
                <w:szCs w:val="20"/>
                <w:highlight w:val="none"/>
                <w:u w:val="none"/>
                <w:lang w:val="en-US" w:eastAsia="zh-Hans" w:bidi="ar"/>
              </w:rPr>
              <w:t>3</w:t>
            </w:r>
            <w:r>
              <w:rPr>
                <w:rFonts w:hint="default" w:ascii="Times New Roman" w:hAnsi="Times New Roman" w:cs="Times New Roman"/>
                <w:i w:val="0"/>
                <w:color w:val="000000"/>
                <w:kern w:val="0"/>
                <w:sz w:val="20"/>
                <w:szCs w:val="20"/>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96" w:hRule="atLeast"/>
        </w:trPr>
        <w:tc>
          <w:tcPr>
            <w:tcW w:w="11218" w:type="dxa"/>
            <w:gridSpan w:val="10"/>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cs="Times New Roman"/>
                <w:b/>
                <w:bCs/>
                <w:i w:val="0"/>
                <w:color w:val="000000"/>
                <w:kern w:val="0"/>
                <w:sz w:val="20"/>
                <w:szCs w:val="20"/>
                <w:highlight w:val="none"/>
                <w:u w:val="none"/>
                <w:lang w:eastAsia="zh-CN" w:bidi="ar"/>
              </w:rPr>
              <w:t>上年度</w:t>
            </w:r>
            <w:r>
              <w:rPr>
                <w:rFonts w:hint="default" w:ascii="Times New Roman" w:hAnsi="Times New Roman" w:cs="Times New Roman"/>
                <w:b/>
                <w:i w:val="0"/>
                <w:color w:val="000000"/>
                <w:kern w:val="0"/>
                <w:sz w:val="20"/>
                <w:szCs w:val="20"/>
                <w:highlight w:val="none"/>
                <w:u w:val="none"/>
                <w:lang w:val="en-US" w:eastAsia="zh-CN" w:bidi="ar"/>
              </w:rPr>
              <w:t>策勒县</w:t>
            </w:r>
            <w:r>
              <w:rPr>
                <w:rFonts w:hint="default" w:ascii="Times New Roman" w:hAnsi="Times New Roman" w:eastAsia="宋体" w:cs="Times New Roman"/>
                <w:b/>
                <w:i w:val="0"/>
                <w:color w:val="000000"/>
                <w:kern w:val="0"/>
                <w:sz w:val="20"/>
                <w:szCs w:val="20"/>
                <w:highlight w:val="none"/>
                <w:u w:val="none"/>
                <w:lang w:val="en-US" w:eastAsia="zh-CN" w:bidi="ar"/>
              </w:rPr>
              <w:t>本级政府专项债券项目表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04" w:hRule="atLeast"/>
        </w:trPr>
        <w:tc>
          <w:tcPr>
            <w:tcW w:w="710" w:type="dxa"/>
            <w:noWrap w:val="0"/>
            <w:vAlign w:val="center"/>
          </w:tcPr>
          <w:p>
            <w:pPr>
              <w:jc w:val="left"/>
              <w:rPr>
                <w:rFonts w:hint="default" w:ascii="Times New Roman" w:hAnsi="Times New Roman" w:eastAsia="宋体" w:cs="Times New Roman"/>
                <w:i w:val="0"/>
                <w:color w:val="000000"/>
                <w:sz w:val="20"/>
                <w:szCs w:val="20"/>
                <w:highlight w:val="none"/>
                <w:u w:val="none"/>
              </w:rPr>
            </w:pPr>
          </w:p>
        </w:tc>
        <w:tc>
          <w:tcPr>
            <w:tcW w:w="1515" w:type="dxa"/>
            <w:noWrap w:val="0"/>
            <w:vAlign w:val="center"/>
          </w:tcPr>
          <w:p>
            <w:pPr>
              <w:jc w:val="center"/>
              <w:rPr>
                <w:rFonts w:hint="default" w:ascii="Times New Roman" w:hAnsi="Times New Roman" w:eastAsia="宋体" w:cs="Times New Roman"/>
                <w:i w:val="0"/>
                <w:color w:val="000000"/>
                <w:sz w:val="20"/>
                <w:szCs w:val="20"/>
                <w:highlight w:val="none"/>
                <w:u w:val="none"/>
              </w:rPr>
            </w:pPr>
          </w:p>
        </w:tc>
        <w:tc>
          <w:tcPr>
            <w:tcW w:w="156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261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05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111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540" w:type="dxa"/>
            <w:noWrap w:val="0"/>
            <w:vAlign w:val="center"/>
          </w:tcPr>
          <w:p>
            <w:pPr>
              <w:rPr>
                <w:rFonts w:hint="default" w:ascii="Times New Roman" w:hAnsi="Times New Roman" w:eastAsia="宋体" w:cs="Times New Roman"/>
                <w:i w:val="0"/>
                <w:color w:val="000000"/>
                <w:sz w:val="20"/>
                <w:szCs w:val="20"/>
                <w:highlight w:val="none"/>
                <w:u w:val="none"/>
              </w:rPr>
            </w:pPr>
          </w:p>
        </w:tc>
        <w:tc>
          <w:tcPr>
            <w:tcW w:w="495" w:type="dxa"/>
            <w:noWrap w:val="0"/>
            <w:vAlign w:val="center"/>
          </w:tcPr>
          <w:p>
            <w:pPr>
              <w:rPr>
                <w:rFonts w:hint="default" w:ascii="Times New Roman" w:hAnsi="Times New Roman" w:eastAsia="宋体" w:cs="Times New Roman"/>
                <w:i w:val="0"/>
                <w:color w:val="000000"/>
                <w:sz w:val="20"/>
                <w:szCs w:val="20"/>
                <w:highlight w:val="none"/>
                <w:u w:val="none"/>
              </w:rPr>
            </w:pPr>
          </w:p>
        </w:tc>
        <w:tc>
          <w:tcPr>
            <w:tcW w:w="72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18"/>
                <w:szCs w:val="18"/>
                <w:highlight w:val="none"/>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69" w:hRule="atLeast"/>
        </w:trPr>
        <w:tc>
          <w:tcPr>
            <w:tcW w:w="71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151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主管部门</w:t>
            </w:r>
          </w:p>
        </w:tc>
        <w:tc>
          <w:tcPr>
            <w:tcW w:w="156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61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9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111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54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49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72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债券存续期内还本付息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b/>
                <w:i w:val="0"/>
                <w:color w:val="000000"/>
                <w:kern w:val="2"/>
                <w:sz w:val="20"/>
                <w:szCs w:val="20"/>
                <w:highlight w:val="none"/>
                <w:u w:val="none"/>
                <w:lang w:val="en-US" w:eastAsia="zh-CN" w:bidi="ar-SA"/>
              </w:rPr>
            </w:pP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9.4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b/>
                <w:i w:val="0"/>
                <w:color w:val="000000"/>
                <w:kern w:val="2"/>
                <w:sz w:val="20"/>
                <w:szCs w:val="20"/>
                <w:highlight w:val="none"/>
                <w:u w:val="none"/>
                <w:lang w:val="en-US" w:eastAsia="zh-CN" w:bidi="ar-SA"/>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b/>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3.86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1</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策勒县达玛沟乡荒漠治理配套现代设施农业示范园建设项目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2.33</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kern w:val="0"/>
                <w:sz w:val="20"/>
                <w:szCs w:val="20"/>
                <w:highlight w:val="none"/>
                <w:u w:val="none"/>
                <w:lang w:val="en-US" w:eastAsia="zh-CN" w:bidi="ar"/>
              </w:rPr>
              <w:t>2</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和田策勒县黑羊标准化养殖场提升建设项目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2.33</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3</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策勒县国道综合停车场建设项目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4</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策勒县住房和城乡建设局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策勒县排水管网建设项目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5</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策勒县先锋水库清淤增效工程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6</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策勒县巴迪干水库清淤增效工程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7</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策勒县博斯坦乡农村饮水巩固提升工程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8</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策勒县新能源停车场建设项目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1.91</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9</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策勒县固废垃圾资源化利用项目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10</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策勒县老旧厂房维修改造建设项目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0.5</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11</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策勒县工业园区管理委员会</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策勒县物流园区建设项目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15</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2.24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12</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策勒县水利局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策勒县拉哈水库清淤增效工程</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13</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策勒县农业农村局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策勒县粪污处理与资源化利用项目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14</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策勒县再生资源回收利用建设项目</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2.34</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15</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和田地区策勒县政府投资项目（一）</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1.2</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2.03</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16</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策勒县商务和工业信息化局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和田地区策勒县政府投资项目（二）</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1.3</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2.03</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7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17</w:t>
            </w:r>
          </w:p>
        </w:tc>
        <w:tc>
          <w:tcPr>
            <w:tcW w:w="151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策勒县</w:t>
            </w:r>
            <w:r>
              <w:rPr>
                <w:rFonts w:hint="default" w:ascii="Times New Roman" w:hAnsi="Times New Roman" w:cs="Times New Roman"/>
                <w:i w:val="0"/>
                <w:color w:val="000000"/>
                <w:sz w:val="20"/>
                <w:szCs w:val="20"/>
                <w:highlight w:val="none"/>
                <w:u w:val="none"/>
                <w:lang w:val="en-US" w:eastAsia="zh-CN"/>
              </w:rPr>
              <w:t>财政局</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策勒县财政局</w:t>
            </w:r>
          </w:p>
        </w:tc>
        <w:tc>
          <w:tcPr>
            <w:tcW w:w="26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和田地区策勒县政府投资项目（三）</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0.6</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b/>
                <w:i w:val="0"/>
                <w:color w:val="000000"/>
                <w:sz w:val="20"/>
                <w:szCs w:val="20"/>
                <w:highlight w:val="none"/>
                <w:u w:val="none"/>
                <w:lang w:val="en-US" w:eastAsia="zh-CN"/>
              </w:rPr>
              <w:t>专项债券</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仿宋_GB2312" w:cs="Times New Roman"/>
                <w:sz w:val="20"/>
                <w:szCs w:val="20"/>
                <w:highlight w:val="none"/>
                <w:lang w:val="en-US" w:eastAsia="zh-CN"/>
              </w:rPr>
              <w:t>项目政府性基金或专项收入等偿还</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30</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2.05</w:t>
            </w: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cs="Times New Roman"/>
                <w:i w:val="0"/>
                <w:color w:val="000000"/>
                <w:sz w:val="20"/>
                <w:szCs w:val="20"/>
                <w:highlight w:val="none"/>
                <w:u w:val="none"/>
                <w:lang w:val="en-US" w:eastAsia="zh-CN"/>
              </w:rPr>
              <w:t>0.37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11218" w:type="dxa"/>
            <w:gridSpan w:val="10"/>
            <w:tcBorders>
              <w:top w:val="single" w:color="000000" w:sz="4" w:space="0"/>
            </w:tcBorders>
            <w:noWrap w:val="0"/>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备注：所有专项债券在进入项目储备库之前，全部编制《项目实施方案》，全面反映项目收支预算总体平衡方案和分年平衡方案，并经过独立第三方进行评审。</w:t>
            </w:r>
          </w:p>
        </w:tc>
      </w:tr>
    </w:tbl>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一、2025年度政府债务限额总体情况</w:t>
      </w:r>
    </w:p>
    <w:p>
      <w:pPr>
        <w:keepNext w:val="0"/>
        <w:keepLines w:val="0"/>
        <w:pageBreakBefore w:val="0"/>
        <w:widowControl w:val="0"/>
        <w:suppressLineNumbers w:val="0"/>
        <w:kinsoku/>
        <w:wordWrap/>
        <w:overflowPunct/>
        <w:topLinePunct w:val="0"/>
        <w:autoSpaceDE w:val="0"/>
        <w:autoSpaceDN w:val="0"/>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2025年度策勒县政府债务限额总额为56.09亿元.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（一）政府债务限额分类型情况。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1.一般债务限额总额情况。</w:t>
      </w:r>
      <w:r>
        <w:rPr>
          <w:rFonts w:hint="default" w:ascii="Times New Roman" w:hAnsi="Times New Roman" w:eastAsia="仿宋_GB2312" w:cs="Times New Roman"/>
          <w:sz w:val="32"/>
          <w:szCs w:val="32"/>
          <w:highlight w:val="none"/>
          <w:lang w:val="en-US" w:eastAsia="zh-CN"/>
        </w:rPr>
        <w:t>2025年度策勒县政府一般债务限额总额23.91亿元。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2.专项债务限额总额情况。</w:t>
      </w:r>
      <w:r>
        <w:rPr>
          <w:rFonts w:hint="default" w:ascii="Times New Roman" w:hAnsi="Times New Roman" w:eastAsia="仿宋_GB2312" w:cs="Times New Roman"/>
          <w:sz w:val="32"/>
          <w:szCs w:val="32"/>
          <w:highlight w:val="none"/>
          <w:lang w:val="en-US" w:eastAsia="zh-CN"/>
        </w:rPr>
        <w:t>2025年度策勒县政府专项债务限额总额为32.18亿元。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（二）新增债务限额情况。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1.新增一般债务限额情况。</w:t>
      </w:r>
      <w:r>
        <w:rPr>
          <w:rFonts w:hint="default" w:ascii="Times New Roman" w:hAnsi="Times New Roman" w:eastAsia="仿宋_GB2312" w:cs="Times New Roman"/>
          <w:sz w:val="32"/>
          <w:szCs w:val="32"/>
          <w:highlight w:val="none"/>
          <w:lang w:val="en-US" w:eastAsia="zh-CN"/>
        </w:rPr>
        <w:t>2025年度策勒县政府新增一般债务限额总额3.25亿元。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2.新增专项债务限额情况。</w:t>
      </w:r>
      <w:r>
        <w:rPr>
          <w:rFonts w:hint="default" w:ascii="Times New Roman" w:hAnsi="Times New Roman" w:eastAsia="仿宋_GB2312" w:cs="Times New Roman"/>
          <w:sz w:val="32"/>
          <w:szCs w:val="32"/>
          <w:highlight w:val="none"/>
          <w:lang w:val="en-US" w:eastAsia="zh-CN"/>
        </w:rPr>
        <w:t>2025年策勒县政府新增专项债务限额总额为9.4亿元。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二、2025年度政府债务余额情况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2025年度策勒县政府债务余额决算数为55.52亿元，政府债务余额全部严格控制在限额56.09亿元内。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（一）一般债务余额决算数。</w:t>
      </w:r>
      <w:r>
        <w:rPr>
          <w:rFonts w:hint="default" w:ascii="Times New Roman" w:hAnsi="Times New Roman" w:eastAsia="仿宋_GB2312" w:cs="Times New Roman"/>
          <w:sz w:val="32"/>
          <w:szCs w:val="32"/>
          <w:highlight w:val="none"/>
          <w:lang w:val="en-US" w:eastAsia="zh-CN"/>
        </w:rPr>
        <w:t>2025年度策勒县政府一般债务余额决算数为23.34亿元。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（二）专项债务余额决算数。</w:t>
      </w:r>
      <w:r>
        <w:rPr>
          <w:rFonts w:hint="default" w:ascii="Times New Roman" w:hAnsi="Times New Roman" w:eastAsia="仿宋_GB2312" w:cs="Times New Roman"/>
          <w:sz w:val="32"/>
          <w:szCs w:val="32"/>
          <w:highlight w:val="none"/>
          <w:lang w:val="en-US" w:eastAsia="zh-CN"/>
        </w:rPr>
        <w:t>2025年度策勒县政府专项债务余额决算数为32.18亿元。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三、2025年度政府债券发行使用情况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2025年度策勒县发行政府债券12.65亿元（新增债券12.2亿元、再融资债券0.45亿元）。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（一）新增一般债券发行使用情况。</w:t>
      </w:r>
      <w:r>
        <w:rPr>
          <w:rFonts w:hint="default" w:ascii="Times New Roman" w:hAnsi="Times New Roman" w:eastAsia="仿宋_GB2312" w:cs="Times New Roman"/>
          <w:sz w:val="32"/>
          <w:szCs w:val="32"/>
          <w:highlight w:val="none"/>
          <w:lang w:val="en-US" w:eastAsia="zh-CN"/>
        </w:rPr>
        <w:t>2025年度策勒县发行新增一般债券2.8亿元。上述债券资金主要用于</w:t>
      </w:r>
      <w:r>
        <w:rPr>
          <w:rFonts w:hint="default" w:ascii="Times New Roman" w:hAnsi="Times New Roman" w:eastAsia="仿宋_GB2312" w:cs="Times New Roman"/>
          <w:sz w:val="30"/>
          <w:szCs w:val="30"/>
        </w:rPr>
        <w:t>交通基础设施</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水利建设、市政基础设施建设</w:t>
      </w:r>
      <w:r>
        <w:rPr>
          <w:rFonts w:hint="default" w:ascii="Times New Roman" w:hAnsi="Times New Roman" w:eastAsia="仿宋_GB2312" w:cs="Times New Roman"/>
          <w:sz w:val="30"/>
          <w:szCs w:val="30"/>
        </w:rPr>
        <w:t>等领域</w:t>
      </w:r>
      <w:r>
        <w:rPr>
          <w:rFonts w:hint="default" w:ascii="Times New Roman" w:hAnsi="Times New Roman" w:eastAsia="仿宋_GB2312" w:cs="Times New Roman"/>
          <w:sz w:val="32"/>
          <w:szCs w:val="32"/>
          <w:highlight w:val="none"/>
          <w:lang w:val="en-US" w:eastAsia="zh-CN"/>
        </w:rPr>
        <w:t>（详见表33）。债券期限分别是5、10年期，债券平均利率为1.74%，债券还本付息通过一般公共预算收入偿还。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（二）新增专项债券发行使用情况。</w:t>
      </w:r>
      <w:r>
        <w:rPr>
          <w:rFonts w:hint="default" w:ascii="Times New Roman" w:hAnsi="Times New Roman" w:eastAsia="仿宋_GB2312" w:cs="Times New Roman"/>
          <w:sz w:val="32"/>
          <w:szCs w:val="32"/>
          <w:highlight w:val="none"/>
          <w:lang w:val="en-US" w:eastAsia="zh-CN"/>
        </w:rPr>
        <w:t>2025年度策勒县发行新增专项债券9.4亿元。上述债券资金主要用于</w:t>
      </w:r>
      <w:r>
        <w:rPr>
          <w:rFonts w:hint="default" w:ascii="Times New Roman" w:hAnsi="Times New Roman" w:eastAsia="仿宋_GB2312" w:cs="Times New Roman"/>
          <w:sz w:val="30"/>
          <w:szCs w:val="30"/>
          <w:lang w:val="en-US" w:eastAsia="zh-CN"/>
        </w:rPr>
        <w:t>农业、水利、城镇污水垃圾处理</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城市停车场、老旧厂房改造、固体废弃物综合利用和资源循环利用、政府投资项目等</w:t>
      </w:r>
      <w:r>
        <w:rPr>
          <w:rFonts w:hint="default" w:ascii="Times New Roman" w:hAnsi="Times New Roman" w:eastAsia="仿宋_GB2312" w:cs="Times New Roman"/>
          <w:sz w:val="32"/>
          <w:szCs w:val="32"/>
          <w:highlight w:val="none"/>
          <w:lang w:val="en-US" w:eastAsia="zh-CN"/>
        </w:rPr>
        <w:t>（详见表33）。债券期限分别是</w:t>
      </w:r>
      <w:r>
        <w:rPr>
          <w:rFonts w:hint="default" w:ascii="Times New Roman" w:hAnsi="Times New Roman" w:eastAsia="仿宋_GB2312" w:cs="Times New Roman"/>
          <w:sz w:val="30"/>
          <w:szCs w:val="30"/>
        </w:rPr>
        <w:t>10</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15、20、30</w:t>
      </w:r>
      <w:r>
        <w:rPr>
          <w:rFonts w:hint="default" w:ascii="Times New Roman" w:hAnsi="Times New Roman" w:eastAsia="仿宋_GB2312" w:cs="Times New Roman"/>
          <w:sz w:val="32"/>
          <w:szCs w:val="32"/>
          <w:highlight w:val="none"/>
          <w:lang w:val="en-US" w:eastAsia="zh-CN"/>
        </w:rPr>
        <w:t>年期，债券平均利率为2.12%，债券还本付息通过对应项目取得的政府性基金或专项收入等偿还。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（三）再融资债券发行使用情况。</w:t>
      </w:r>
      <w:r>
        <w:rPr>
          <w:rFonts w:hint="default" w:ascii="Times New Roman" w:hAnsi="Times New Roman" w:eastAsia="仿宋_GB2312" w:cs="Times New Roman"/>
          <w:sz w:val="32"/>
          <w:szCs w:val="32"/>
          <w:highlight w:val="none"/>
          <w:lang w:val="en-US" w:eastAsia="zh-CN"/>
        </w:rPr>
        <w:t>2025年度策勒县发行再融资债券0.45亿元（再融资一般债券0.45亿元、再融资专项债券0亿元）。债券期限分别是10年期，债券平均利率为1.91%。</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四、2025年度政府债券还本付息情况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2025年度策勒县政府债券还本付息总额1.66亿元（本金0亿元，财政预算安排还本0亿元，再融资债券还本0亿元；财政预算安排付息1.66亿元）。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default" w:ascii="Times New Roman" w:hAnsi="Times New Roman" w:eastAsia="仿宋_GB2312" w:cs="Times New Roman"/>
          <w:sz w:val="32"/>
          <w:szCs w:val="32"/>
          <w:highlight w:val="none"/>
          <w:lang w:val="en-US" w:eastAsia="zh-CN"/>
        </w:rPr>
        <w:t>2025年度策勒县政府一般债券还本付息总额0.92亿元（本金0亿元，财政预算安排还本0亿元，再融资债券还本0亿元；财政预算安排付息0.92亿元）。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default" w:ascii="Times New Roman" w:hAnsi="Times New Roman" w:eastAsia="仿宋_GB2312" w:cs="Times New Roman"/>
          <w:sz w:val="32"/>
          <w:szCs w:val="32"/>
          <w:highlight w:val="none"/>
          <w:lang w:val="en-US" w:eastAsia="zh-CN"/>
        </w:rPr>
        <w:t>2025年度策勒县政府专项债券还本付息总额0.74亿元（本金0亿元，财政预算安排还本0亿元，再融资债券还本0亿元；财政预算安排付息0.74亿元）。</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五、2026年度政府债券还本付息情况。</w:t>
      </w: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2026年度策勒县政府债券还本付息总额2.02亿元（本金0.12亿元，财政预算安排还本0.04亿元，再融资债券还本0.08亿元；财政预算安排付息1.9亿元）。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default" w:ascii="Times New Roman" w:hAnsi="Times New Roman" w:eastAsia="仿宋_GB2312" w:cs="Times New Roman"/>
          <w:sz w:val="32"/>
          <w:szCs w:val="32"/>
          <w:highlight w:val="none"/>
          <w:lang w:val="en-US" w:eastAsia="zh-CN"/>
        </w:rPr>
        <w:t>2026年度策勒县政府一般债券还本付息总额1.1亿元（本金0亿元，财政预算安排还本0.04亿元，再融资债券还本0.08亿元；财政预算安排付息0.98亿元）。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default" w:ascii="Times New Roman" w:hAnsi="Times New Roman" w:eastAsia="仿宋_GB2312" w:cs="Times New Roman"/>
          <w:sz w:val="32"/>
          <w:szCs w:val="32"/>
          <w:highlight w:val="none"/>
          <w:lang w:val="en-US" w:eastAsia="zh-CN"/>
        </w:rPr>
        <w:t>2026年度策勒县政府专项债券还本付息总额0.92亿元（本金0亿元，财政预算安排还本0亿元，再融资债券还本0亿元；财政预算安排付息0.92亿元）。</w:t>
      </w:r>
    </w:p>
    <w:p>
      <w:pPr>
        <w:pStyle w:val="10"/>
        <w:rPr>
          <w:rFonts w:hint="default" w:ascii="Times New Roman" w:hAnsi="Times New Roman" w:cs="Times New Roman"/>
          <w:highlight w:val="none"/>
          <w:lang w:val="en-US" w:eastAsia="zh-CN"/>
        </w:rPr>
      </w:pPr>
    </w:p>
    <w:p>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六、2025年度本级政府专项债务情况。</w:t>
      </w:r>
    </w:p>
    <w:p>
      <w:pPr>
        <w:widowControl w:val="0"/>
        <w:spacing w:line="600" w:lineRule="exact"/>
        <w:ind w:firstLine="640" w:firstLineChars="200"/>
        <w:jc w:val="both"/>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仿宋_GB2312" w:cs="Times New Roman"/>
          <w:sz w:val="32"/>
          <w:szCs w:val="32"/>
          <w:highlight w:val="none"/>
          <w:lang w:val="en-US" w:eastAsia="zh-CN"/>
        </w:rPr>
        <w:t>2025年度策勒县政府专项债券收入9.4亿元、支出3.22亿元、还本付息0.74亿元，专项债券项目对应专项收入共计0.09亿元。上述债券资金主要用于</w:t>
      </w:r>
      <w:r>
        <w:rPr>
          <w:rFonts w:hint="default" w:ascii="Times New Roman" w:hAnsi="Times New Roman" w:eastAsia="仿宋_GB2312" w:cs="Times New Roman"/>
          <w:sz w:val="30"/>
          <w:szCs w:val="30"/>
          <w:lang w:val="en-US" w:eastAsia="zh-CN"/>
        </w:rPr>
        <w:t>农业、水利、城镇污水垃圾处理</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城市停车场、老旧厂房改造、固体废弃物综合利用和资源循环利用、政府投资项目</w:t>
      </w:r>
      <w:r>
        <w:rPr>
          <w:rFonts w:hint="default" w:ascii="Times New Roman" w:hAnsi="Times New Roman" w:eastAsia="仿宋_GB2312" w:cs="Times New Roman"/>
          <w:sz w:val="30"/>
          <w:szCs w:val="30"/>
        </w:rPr>
        <w:t>等重点领域</w:t>
      </w:r>
      <w:r>
        <w:rPr>
          <w:rFonts w:hint="default" w:ascii="Times New Roman" w:hAnsi="Times New Roman" w:eastAsia="仿宋_GB2312" w:cs="Times New Roman"/>
          <w:sz w:val="32"/>
          <w:szCs w:val="32"/>
          <w:highlight w:val="none"/>
          <w:lang w:val="en-US" w:eastAsia="zh-CN"/>
        </w:rPr>
        <w:t>有一定收益的公益性政府投资项目建设。债券期限分别是</w:t>
      </w:r>
      <w:r>
        <w:rPr>
          <w:rFonts w:hint="default" w:ascii="Times New Roman" w:hAnsi="Times New Roman" w:eastAsia="仿宋_GB2312" w:cs="Times New Roman"/>
          <w:sz w:val="30"/>
          <w:szCs w:val="30"/>
        </w:rPr>
        <w:t>10</w:t>
      </w:r>
      <w:r>
        <w:rPr>
          <w:rFonts w:hint="default" w:ascii="Times New Roman" w:hAnsi="Times New Roman" w:eastAsia="仿宋_GB2312" w:cs="Times New Roman"/>
          <w:sz w:val="30"/>
          <w:szCs w:val="30"/>
          <w:lang w:eastAsia="zh-CN"/>
        </w:rPr>
        <w:t>、</w:t>
      </w:r>
      <w:r>
        <w:rPr>
          <w:rFonts w:hint="default" w:ascii="Times New Roman" w:hAnsi="Times New Roman" w:eastAsia="仿宋_GB2312" w:cs="Times New Roman"/>
          <w:sz w:val="30"/>
          <w:szCs w:val="30"/>
          <w:lang w:val="en-US" w:eastAsia="zh-CN"/>
        </w:rPr>
        <w:t>15、20、30</w:t>
      </w:r>
      <w:r>
        <w:rPr>
          <w:rFonts w:hint="default" w:ascii="Times New Roman" w:hAnsi="Times New Roman" w:eastAsia="仿宋_GB2312" w:cs="Times New Roman"/>
          <w:sz w:val="32"/>
          <w:szCs w:val="32"/>
          <w:highlight w:val="none"/>
          <w:lang w:val="en-US" w:eastAsia="zh-CN"/>
        </w:rPr>
        <w:t>年期，债券平均利率为2.12%，债券还本付息资金已足额列入年初财政预算，对应项目取得的政府性基金或专项收入等偿还。</w:t>
      </w:r>
    </w:p>
    <w:p>
      <w:pPr>
        <w:widowControl w:val="0"/>
        <w:spacing w:line="600" w:lineRule="exact"/>
        <w:jc w:val="center"/>
        <w:outlineLvl w:val="9"/>
        <w:rPr>
          <w:rFonts w:hint="default" w:ascii="Times New Roman" w:hAnsi="Times New Roman" w:eastAsia="黑体" w:cs="Times New Roman"/>
          <w:kern w:val="0"/>
          <w:sz w:val="32"/>
          <w:szCs w:val="32"/>
          <w:highlight w:val="none"/>
          <w:lang w:val="en-US" w:eastAsia="zh-Hans"/>
        </w:rPr>
      </w:pPr>
    </w:p>
    <w:p>
      <w:pPr>
        <w:widowControl w:val="0"/>
        <w:spacing w:line="600" w:lineRule="exact"/>
        <w:jc w:val="center"/>
        <w:outlineLvl w:val="9"/>
        <w:rPr>
          <w:rFonts w:hint="default" w:ascii="Times New Roman" w:hAnsi="Times New Roman" w:eastAsia="黑体" w:cs="Times New Roman"/>
          <w:kern w:val="0"/>
          <w:sz w:val="32"/>
          <w:szCs w:val="32"/>
          <w:highlight w:val="none"/>
          <w:lang w:val="en-US" w:eastAsia="zh-CN"/>
        </w:rPr>
      </w:pPr>
      <w:r>
        <w:rPr>
          <w:rFonts w:hint="default" w:ascii="Times New Roman" w:hAnsi="Times New Roman" w:eastAsia="黑体" w:cs="Times New Roman"/>
          <w:kern w:val="0"/>
          <w:sz w:val="32"/>
          <w:szCs w:val="32"/>
          <w:highlight w:val="none"/>
          <w:lang w:val="en-US" w:eastAsia="zh-Hans"/>
        </w:rPr>
        <w:t>第六部分 财政衔接推进乡村振兴补助资金公开情况说明</w:t>
      </w:r>
    </w:p>
    <w:p>
      <w:pPr>
        <w:ind w:firstLine="640" w:firstLineChars="200"/>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一、财政衔接推进乡村振兴补助资金安排分配情况。</w:t>
      </w:r>
    </w:p>
    <w:p>
      <w:pPr>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策勒县2025年乡村振兴衔接到位资金41694万元，（其中：中央到位资金34257万元，自治区到位7437万元）共安排48个项目，截至目前已支付40601.32万元 ，支付率97.38%。</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二、财政衔接推进乡村振兴补助资金相关政策办法。</w:t>
      </w:r>
    </w:p>
    <w:p>
      <w:pPr>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自2021年以来</w:t>
      </w:r>
      <w:r>
        <w:rPr>
          <w:rFonts w:hint="default" w:ascii="Times New Roman" w:hAnsi="Times New Roman" w:eastAsia="方正仿宋_GBK" w:cs="Times New Roman"/>
          <w:sz w:val="32"/>
          <w:szCs w:val="32"/>
        </w:rPr>
        <w:t>衔接推进乡村振兴补助资金相关政策办法</w:t>
      </w:r>
      <w:r>
        <w:rPr>
          <w:rFonts w:hint="default" w:ascii="Times New Roman" w:hAnsi="Times New Roman" w:eastAsia="方正仿宋_GBK" w:cs="Times New Roman"/>
          <w:sz w:val="32"/>
          <w:szCs w:val="32"/>
          <w:lang w:val="en-US" w:eastAsia="zh-CN"/>
        </w:rPr>
        <w:t>有：</w:t>
      </w:r>
      <w:r>
        <w:rPr>
          <w:rFonts w:hint="default" w:ascii="Times New Roman" w:hAnsi="Times New Roman" w:eastAsia="方正仿宋_GBK" w:cs="Times New Roman"/>
          <w:b/>
          <w:bCs/>
          <w:sz w:val="32"/>
          <w:szCs w:val="32"/>
          <w:lang w:val="en-US" w:eastAsia="zh-CN"/>
        </w:rPr>
        <w:t>一是</w:t>
      </w:r>
      <w:r>
        <w:rPr>
          <w:rFonts w:hint="default" w:ascii="Times New Roman" w:hAnsi="Times New Roman" w:eastAsia="方正仿宋_GBK" w:cs="Times New Roman"/>
          <w:sz w:val="32"/>
          <w:szCs w:val="32"/>
          <w:lang w:val="en-US" w:eastAsia="zh-CN"/>
        </w:rPr>
        <w:t>关于印发《新疆维吾尔自治区财政衔接推进乡村振兴补助资金管理办法》的通知（新财规【2021】11号）；</w:t>
      </w:r>
      <w:r>
        <w:rPr>
          <w:rFonts w:hint="default" w:ascii="Times New Roman" w:hAnsi="Times New Roman" w:eastAsia="方正仿宋_GBK" w:cs="Times New Roman"/>
          <w:b/>
          <w:bCs/>
          <w:sz w:val="32"/>
          <w:szCs w:val="32"/>
          <w:lang w:val="en-US" w:eastAsia="zh-CN"/>
        </w:rPr>
        <w:t>二是</w:t>
      </w:r>
      <w:r>
        <w:rPr>
          <w:rFonts w:hint="default" w:ascii="Times New Roman" w:hAnsi="Times New Roman" w:eastAsia="方正仿宋_GBK" w:cs="Times New Roman"/>
          <w:sz w:val="32"/>
          <w:szCs w:val="32"/>
          <w:lang w:val="en-US" w:eastAsia="zh-CN"/>
        </w:rPr>
        <w:t>关于《新疆维吾尔自治区财政衔接推进乡村振兴补助资金管理办法》有关事项的补充通知（新财振【2023】15）；</w:t>
      </w:r>
      <w:r>
        <w:rPr>
          <w:rFonts w:hint="default" w:ascii="Times New Roman" w:hAnsi="Times New Roman" w:eastAsia="方正仿宋_GBK" w:cs="Times New Roman"/>
          <w:b/>
          <w:bCs/>
          <w:sz w:val="32"/>
          <w:szCs w:val="32"/>
          <w:lang w:val="en-US" w:eastAsia="zh-CN"/>
        </w:rPr>
        <w:t>三是</w:t>
      </w:r>
      <w:r>
        <w:rPr>
          <w:rFonts w:hint="default" w:ascii="Times New Roman" w:hAnsi="Times New Roman" w:eastAsia="方正仿宋_GBK" w:cs="Times New Roman"/>
          <w:sz w:val="32"/>
          <w:szCs w:val="32"/>
          <w:lang w:val="en-US" w:eastAsia="zh-CN"/>
        </w:rPr>
        <w:t>关于转发《进一步加强财政衔接推进乡村振兴补助资金使用管理的补充通知》的通知（和地财农【2024】2号）；</w:t>
      </w:r>
    </w:p>
    <w:p>
      <w:pPr>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bCs/>
          <w:sz w:val="32"/>
          <w:szCs w:val="32"/>
          <w:lang w:val="en-US" w:eastAsia="zh-CN"/>
        </w:rPr>
        <w:t>四是</w:t>
      </w:r>
      <w:r>
        <w:rPr>
          <w:rFonts w:hint="default" w:ascii="Times New Roman" w:hAnsi="Times New Roman" w:eastAsia="方正仿宋_GBK" w:cs="Times New Roman"/>
          <w:sz w:val="32"/>
          <w:szCs w:val="32"/>
          <w:lang w:val="en-US" w:eastAsia="zh-CN"/>
        </w:rPr>
        <w:t>《关于2024年推动产业帮扶精准到户促进农民持续增收有关工作的通知》（新财振【2024】6号）；</w:t>
      </w:r>
      <w:r>
        <w:rPr>
          <w:rFonts w:hint="default" w:ascii="Times New Roman" w:hAnsi="Times New Roman" w:eastAsia="方正仿宋_GBK" w:cs="Times New Roman"/>
          <w:b/>
          <w:bCs/>
          <w:sz w:val="32"/>
          <w:szCs w:val="32"/>
          <w:lang w:val="en-US" w:eastAsia="zh-CN"/>
        </w:rPr>
        <w:t>五是</w:t>
      </w:r>
      <w:r>
        <w:rPr>
          <w:rFonts w:hint="default" w:ascii="Times New Roman" w:hAnsi="Times New Roman" w:eastAsia="方正仿宋_GBK" w:cs="Times New Roman"/>
          <w:b w:val="0"/>
          <w:bCs w:val="0"/>
          <w:sz w:val="32"/>
          <w:szCs w:val="32"/>
          <w:lang w:val="en-US" w:eastAsia="zh-CN"/>
        </w:rPr>
        <w:t>《和田地区2025年推动产业帮扶精准到户促进农民持续增收工作的通知》（和地农发【2025】8号）。</w:t>
      </w:r>
    </w:p>
    <w:p>
      <w:pPr>
        <w:pStyle w:val="2"/>
        <w:rPr>
          <w:rFonts w:hint="default"/>
          <w:lang w:val="en-US" w:eastAsia="zh-CN"/>
        </w:rPr>
      </w:pPr>
    </w:p>
    <w:p>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第七部分 本级汇总的预算绩效情况说明</w:t>
      </w:r>
    </w:p>
    <w:p>
      <w:pPr>
        <w:keepNext w:val="0"/>
        <w:keepLines w:val="0"/>
        <w:pageBreakBefore w:val="0"/>
        <w:widowControl w:val="0"/>
        <w:kinsoku/>
        <w:wordWrap/>
        <w:overflowPunct/>
        <w:topLinePunct w:val="0"/>
        <w:autoSpaceDE w:val="0"/>
        <w:autoSpaceDN w:val="0"/>
        <w:bidi w:val="0"/>
        <w:adjustRightInd/>
        <w:snapToGrid/>
        <w:spacing w:before="0" w:after="0" w:line="540" w:lineRule="exact"/>
        <w:ind w:right="0" w:rightChars="0" w:firstLine="640" w:firstLineChars="200"/>
        <w:jc w:val="both"/>
        <w:textAlignment w:val="auto"/>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b w:val="0"/>
          <w:bCs w:val="0"/>
          <w:sz w:val="32"/>
          <w:szCs w:val="32"/>
          <w:lang w:val="en-US" w:eastAsia="zh-CN"/>
        </w:rPr>
        <w:t>为提高财政资金效益，将资金运行在阳光下，根据预算公开工作要求，现将2025年策勒县本级预算绩效管理情况说明如下：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一、2025年绩效申报工作完成情况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（一）2025年绩效目标申报工作完成情况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sz w:val="32"/>
          <w:szCs w:val="32"/>
          <w:lang w:val="en-US" w:eastAsia="zh-CN"/>
        </w:rPr>
        <w:t>部门整体绩效目标：全县共申报部门整体绩效目标108个362809.55万元。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２．</w:t>
      </w:r>
      <w:r>
        <w:rPr>
          <w:rFonts w:hint="default" w:ascii="Times New Roman" w:hAnsi="Times New Roman" w:eastAsia="仿宋_GB2312" w:cs="Times New Roman"/>
          <w:sz w:val="32"/>
          <w:szCs w:val="32"/>
          <w:lang w:val="en-US" w:eastAsia="zh-CN"/>
        </w:rPr>
        <w:t>项目支出绩效目标：全县年初预算共申报项目支出绩效目标219个46177.32万元，年中追加共申报项目支出绩效目标412个55642.85万元。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３．</w:t>
      </w:r>
      <w:r>
        <w:rPr>
          <w:rFonts w:hint="default" w:ascii="Times New Roman" w:hAnsi="Times New Roman" w:eastAsia="仿宋_GB2312" w:cs="Times New Roman"/>
          <w:sz w:val="32"/>
          <w:szCs w:val="32"/>
          <w:lang w:val="en-US" w:eastAsia="zh-CN"/>
        </w:rPr>
        <w:t>年中调整绩效目标：全县年中调整绩效共申报项目支出绩效目标29个9214.59万元。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b w:val="0"/>
          <w:bCs w:val="0"/>
          <w:sz w:val="32"/>
          <w:szCs w:val="32"/>
          <w:lang w:val="en-US" w:eastAsia="zh-CN"/>
        </w:rPr>
        <w:t>４．</w:t>
      </w:r>
      <w:r>
        <w:rPr>
          <w:rFonts w:hint="default" w:ascii="Times New Roman" w:hAnsi="Times New Roman" w:eastAsia="仿宋_GB2312" w:cs="Times New Roman"/>
          <w:sz w:val="32"/>
          <w:szCs w:val="32"/>
          <w:lang w:val="en-US" w:eastAsia="zh-CN"/>
        </w:rPr>
        <w:t>年中终止项目目标：全县年中终止项目共申报项目支出绩效目标2个43.2万元。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（二）2025年绩效监控申报工作完成情况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１．</w:t>
      </w:r>
      <w:r>
        <w:rPr>
          <w:rFonts w:hint="default" w:ascii="Times New Roman" w:hAnsi="Times New Roman" w:eastAsia="仿宋_GB2312" w:cs="Times New Roman"/>
          <w:sz w:val="32"/>
          <w:szCs w:val="32"/>
          <w:lang w:val="en-US" w:eastAsia="zh-CN"/>
        </w:rPr>
        <w:t>截至2025年6月30日，共完成435个项目的绩效监控工作，预算数88215.69万元，执行数44463.88万元，执行率50.40%。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sz w:val="32"/>
          <w:szCs w:val="32"/>
          <w:lang w:val="en-US" w:eastAsia="zh-CN"/>
        </w:rPr>
        <w:t>２．</w:t>
      </w:r>
      <w:r>
        <w:rPr>
          <w:rFonts w:hint="default" w:ascii="Times New Roman" w:hAnsi="Times New Roman" w:eastAsia="仿宋_GB2312" w:cs="Times New Roman"/>
          <w:sz w:val="32"/>
          <w:szCs w:val="32"/>
          <w:lang w:val="en-US" w:eastAsia="zh-CN"/>
        </w:rPr>
        <w:t>截至2025年7月31日，共完成108个部门整体监控工作，预算数404724.11万元，执行数210096.68万元，执行率51.91%。</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b w:val="0"/>
          <w:bCs w:val="0"/>
          <w:sz w:val="32"/>
          <w:szCs w:val="32"/>
          <w:lang w:val="en-US" w:eastAsia="zh-CN"/>
        </w:rPr>
        <w:t>３．</w:t>
      </w:r>
      <w:r>
        <w:rPr>
          <w:rFonts w:hint="default" w:ascii="Times New Roman" w:hAnsi="Times New Roman" w:eastAsia="仿宋_GB2312" w:cs="Times New Roman"/>
          <w:sz w:val="32"/>
          <w:szCs w:val="32"/>
          <w:lang w:val="en-US" w:eastAsia="zh-CN"/>
        </w:rPr>
        <w:t>截至2025年9月30日，共完成631个项目的绩效监控工作，预算数101820.17万元，执行数66061.32万元，执行率64.88%。</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highlight w:val="none"/>
          <w:lang w:val="en-US" w:eastAsia="zh-CN"/>
        </w:rPr>
        <w:t>2025年项目支出监控反馈工作完成情况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sz w:val="32"/>
          <w:szCs w:val="32"/>
          <w:lang w:val="en-US" w:eastAsia="zh-CN"/>
        </w:rPr>
        <w:t>１．</w:t>
      </w:r>
      <w:r>
        <w:rPr>
          <w:rFonts w:hint="default" w:ascii="Times New Roman" w:hAnsi="Times New Roman" w:eastAsia="仿宋_GB2312" w:cs="Times New Roman"/>
          <w:sz w:val="32"/>
          <w:szCs w:val="32"/>
          <w:highlight w:val="none"/>
          <w:lang w:val="en-US" w:eastAsia="zh-CN"/>
        </w:rPr>
        <w:t>截至2025年6月30日，5月监控共完成435个项目的绩效监控工作，209个项目绿标，涉及金额36129.59万元，226个项目黄标，涉及金额52086.10万元。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val="0"/>
          <w:bCs w:val="0"/>
          <w:sz w:val="32"/>
          <w:szCs w:val="32"/>
          <w:lang w:val="en-US" w:eastAsia="zh-CN"/>
        </w:rPr>
        <w:t>２．</w:t>
      </w:r>
      <w:r>
        <w:rPr>
          <w:rFonts w:hint="default" w:ascii="Times New Roman" w:hAnsi="Times New Roman" w:eastAsia="仿宋_GB2312" w:cs="Times New Roman"/>
          <w:sz w:val="32"/>
          <w:szCs w:val="32"/>
          <w:highlight w:val="none"/>
          <w:lang w:val="en-US" w:eastAsia="zh-CN"/>
        </w:rPr>
        <w:t>截至2025年9月30日，8月监控共完成631个项目的绩效监控工作，458个项目绿标，涉及金额67204.93万元，28个项目黄标，涉及金额4512.90万元，145个项目红标，涉及金额30102.34万元。黄标及红标项目已及时通知单位整改。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二、2024年重点项目评价工作完成情况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截至2025年7月30日，完成对2024年重点项目评价工作，本次评价共选取7个部门整体和项目支出进行重点评价，涉及资金14586.43万元，评价对象覆盖部门整体、项目支出，资金性质包含“四本预算”、地方债券、政府采购及政府购买服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三、各类检查工作完成情况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（一）2025年实效评价检查：</w:t>
      </w:r>
      <w:r>
        <w:rPr>
          <w:rFonts w:hint="default" w:ascii="Times New Roman" w:hAnsi="Times New Roman" w:eastAsia="仿宋_GB2312" w:cs="Times New Roman"/>
          <w:sz w:val="32"/>
          <w:szCs w:val="32"/>
          <w:highlight w:val="none"/>
          <w:lang w:val="en-US" w:eastAsia="zh-CN"/>
        </w:rPr>
        <w:t>财政绩效评价中心根据中央、自治区年度工作重点，结合财政部年度转移支付绩效自评清单及上年度考核重点领域，经研究选定殡葬、义务教育薄弱环节改善与能力提升补助资金涉及的项目为本次实效评价重点领域清单。配合策勒县财政局抽取5个项目，进行自查。涉及单位教育局4个项目，民政局1个项目，共涉及10165.70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（二）营养膳食项目绩效核查调整：</w:t>
      </w:r>
      <w:r>
        <w:rPr>
          <w:rFonts w:hint="default" w:ascii="Times New Roman" w:hAnsi="Times New Roman" w:eastAsia="仿宋_GB2312" w:cs="Times New Roman"/>
          <w:sz w:val="32"/>
          <w:szCs w:val="32"/>
          <w:highlight w:val="none"/>
          <w:lang w:val="en-US" w:eastAsia="zh-CN"/>
        </w:rPr>
        <w:t>2024年3个项目，涉及7595.60万元，由教育局实施；2025年33个项目，涉及6502.15万元，由15个学校实施。针对补助标准及补助天数漏填写的目标进行添加，调整目标，可供核查单位，复核是否达到2025年按照文件要求营养膳食生均补助标准7元/天/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（三）自治区项目支出绩效评价真实性核查：</w:t>
      </w:r>
      <w:r>
        <w:rPr>
          <w:rFonts w:hint="default" w:ascii="Times New Roman" w:hAnsi="Times New Roman" w:eastAsia="仿宋_GB2312" w:cs="Times New Roman"/>
          <w:sz w:val="32"/>
          <w:szCs w:val="32"/>
          <w:highlight w:val="none"/>
          <w:lang w:val="en-US" w:eastAsia="zh-CN"/>
        </w:rPr>
        <w:t>第一轮2024年度自治区项目支出绩效评价真实性核查，自治区抽取13个项目，涉及资金4018.49万元；第二轮2025年度自治区项目支出绩效监控真实性核查，自治区抽取4个项目，涉及资金2265.79万元，均按要求报送至地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四、2025年地区推送问题整改完成情况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年初整体目标地区抽查10个单位，反馈问题4条；年初项目目标地区抽查17个项目，反馈问题16条；5月项目监控地区抽查40个项目，反馈问题13条；6月整体监控地区抽查10个单位，反馈问题1条；8月项目监控地区抽查51个项目，反馈问题15条。以上反馈问题均已通知单位整改完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五、当前工作存在的问题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（一）单位对绩效工作的重视度不高：</w:t>
      </w:r>
      <w:r>
        <w:rPr>
          <w:rFonts w:hint="default" w:ascii="Times New Roman" w:hAnsi="Times New Roman" w:eastAsia="仿宋_GB2312" w:cs="Times New Roman"/>
          <w:sz w:val="32"/>
          <w:szCs w:val="32"/>
          <w:highlight w:val="none"/>
          <w:lang w:val="en-US" w:eastAsia="zh-CN"/>
        </w:rPr>
        <w:t>绩效制度往往流于形式，对项目实施方案不重视，绩效指标模糊笼统，导致绩效指标无法真实反映项目情况。既没有结合单位项目特点与实际需求制定精细化的指标，也缺乏动态调整配套机制。导致后期项目监控及自评指标完成率偏差大，得分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（二）绩效工作人员对绩效工作的重视度不高：</w:t>
      </w:r>
      <w:r>
        <w:rPr>
          <w:rFonts w:hint="default" w:ascii="Times New Roman" w:hAnsi="Times New Roman" w:eastAsia="仿宋_GB2312" w:cs="Times New Roman"/>
          <w:sz w:val="32"/>
          <w:szCs w:val="32"/>
          <w:highlight w:val="none"/>
          <w:lang w:val="en-US" w:eastAsia="zh-CN"/>
        </w:rPr>
        <w:t>绩效工作人员作为绩效体系落地执行的核心力量，其重视程度缺失，直接导致绩效工作沦为“走过场”的形式化流程。这类工作人员常将绩效工作简单等同于“填表格”的重复性事务，既缺乏主动钻研绩效工作合理、真实的意识，也不愿投入精力去根据下发模板填报绩效工作。这种重视不足的态度，让绩效工作推进慢，复核时间不足，导致绩效工作接受检查时，因小问题丢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六、改进措施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一）组织单位绩效负责人开展绩效专题培训，邀请第三方解读绩效工作的重要性及具体操作，扭转“重资金轻绩效”的思维定式；明确领导担任绩效工作领导小组负责人，将绩效工作推进成效纳入年度考核指标，形成“一把手”亲自抓、分管领导具体抓的责任体系，年底对各单位进行考核。</w:t>
      </w:r>
    </w:p>
    <w:p>
      <w:pPr>
        <w:keepNext w:val="0"/>
        <w:keepLines w:val="0"/>
        <w:pageBreakBefore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（二）将绩效工作推进成效、工作内容与质量纳入其个人考核，考核结果直接与薪酬、晋升挂钩，倒逼其重视本职工作。定期组织绩效专项培训，内容涵盖绩效理论及实操。给其参考模板，更好的完成工作。</w:t>
      </w:r>
    </w:p>
    <w:p>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第八部分 其他情况说明</w:t>
      </w:r>
    </w:p>
    <w:p>
      <w:pPr>
        <w:keepNext w:val="0"/>
        <w:keepLines w:val="0"/>
        <w:pageBreakBefore w:val="0"/>
        <w:widowControl w:val="0"/>
        <w:suppressLineNumbers w:val="0"/>
        <w:kinsoku/>
        <w:wordWrap/>
        <w:overflowPunct/>
        <w:topLinePunct w:val="0"/>
        <w:autoSpaceDE w:val="0"/>
        <w:autoSpaceDN w:val="0"/>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cs="Times New Roman"/>
          <w:highlight w:val="none"/>
        </w:rPr>
      </w:pPr>
      <w:r>
        <w:rPr>
          <w:rFonts w:hint="default" w:ascii="Times New Roman" w:hAnsi="Times New Roman" w:eastAsia="仿宋_GB2312" w:cs="Times New Roman"/>
          <w:color w:val="000000"/>
          <w:kern w:val="0"/>
          <w:sz w:val="32"/>
          <w:szCs w:val="32"/>
          <w:highlight w:val="none"/>
          <w:lang w:val="en-US" w:eastAsia="zh-CN" w:bidi="ar"/>
        </w:rPr>
        <w:t>策勒县2026年度未安排“四本预算”对下转移支付。</w:t>
      </w: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3000509000000000000"/>
    <w:charset w:val="86"/>
    <w:family w:val="modern"/>
    <w:pitch w:val="default"/>
    <w:sig w:usb0="00000001" w:usb1="080E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方正仿宋简体">
    <w:panose1 w:val="03000509000000000000"/>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qd70rIBAABZAwAADgAAAGRycy9lMm9Eb2MueG1srVPNjtMwEL4j8Q6W&#10;7zTZroSqqOkKtFqEhABp4QFcx24s2R5r7DbpC8AbcOLCnefqczB2mu4Ct9VenPn9Zr6ZyfpmdJYd&#10;FEYDvuVXi5oz5SV0xu9a/vXL3asVZzEJ3wkLXrX8qCK/2bx8sR5Co5bQg+0UMgLxsRlCy/uUQlNV&#10;UfbKibiAoDw5NaATiVTcVR2KgdCdrZZ1/boaALuAIFWMZL2dnHxT8LVWMn3SOqrEbMupt1ReLO82&#10;v9VmLZoditAbeW5DPKELJ4ynoheoW5EE26P5D8oZiRBBp4UEV4HWRqrCgdhc1f+wue9FUIULDSeG&#10;y5ji88HKj4fPyEzX8mvOvHC0otOP76efv0+/vrHrPJ4hxIai7gPFpfEtjLTm2R7JmFmPGl3+Eh9G&#10;fhr08TJcNSYmc9JquVrV5JLkmxXCrx7SA8b0ToFjWWg50vbKUMXhQ0xT6BySq3m4M9aWDVr/l4Ew&#10;J4sqJ3DOzkymjrOUxu14preF7kjsBjqDlnu6U87se09TzhczCzgL21nYBzS7vpxUrh7Dm32ilkqn&#10;ucIESwyzQvsrXM+3lg/ksV6iHv6IzR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lqd70rIB&#10;AABZAwAADgAAAAAAAAABACAAAAAeAQAAZHJzL2Uyb0RvYy54bWxQSwUGAAAAAAYABgBZAQAAQgUA&#10;AAAA&#10;">
              <v:fill on="f" focussize="0,0"/>
              <v:stroke on="f"/>
              <v:imagedata o:title=""/>
              <o:lock v:ext="edit" aspectratio="f"/>
              <v:textbox inset="0mm,0mm,0mm,0mm" style="mso-fit-shape-to-text:t;">
                <w:txbxContent>
                  <w:p>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v:textbox>
            </v:shape>
          </w:pict>
        </mc:Fallback>
      </mc:AlternateConten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BWFLABAABZAwAADgAAAGRycy9lMm9Eb2MueG1srVPNjtMwEL4j8Q6W&#10;7zTZHFAVNV2BVouQECAtPIDr2I0l/2nGbdIXgDfgxIU7z9XnYOw03QVuiIszv9/MNzPZ3E7OsqMC&#10;NMF3/GZVc6a8DL3x+45//nT/Ys0ZJuF7YYNXHT8p5Lfb5882Y2xVE4ZgewWMQDy2Y+z4kFJsqwrl&#10;oJzAVYjKk1MHcCKRCvuqBzESurNVU9cvqzFAHyFIhUjWu9nJtwVfayXTB61RJWY7Tr2l8kJ5d/mt&#10;thvR7kHEwchLG+IfunDCeCp6hboTSbADmL+gnJEQMOi0ksFVQWsjVeFAbG7qP9g8DCKqwoWGg/E6&#10;Jvx/sPL98SMw03e84cwLRys6f/t6/v7z/OMLa/J4xogtRT1EikvT6zDRmhc7kjGznjS4/CU+jPw0&#10;6NN1uGpKTOakdbNe1+SS5FsUwq8e0yNgeqOCY1noOND2ylDF8R2mOXQJydV8uDfWlg1a/5uBMGeL&#10;Kidwyc5M5o6zlKbddKG3C/2J2I10Bh33dKec2beeppwvZhFgEXaLcIhg9kM5qVwd46tDopZKp7nC&#10;DEsMs0L7K1wvt5YP5Kleoh7/iO0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zql5uc8AAAAFAQAA&#10;DwAAAAAAAAABACAAAAAiAAAAZHJzL2Rvd25yZXYueG1sUEsBAhQAFAAAAAgAh07iQEYQVhSwAQAA&#10;WQMAAA4AAAAAAAAAAQAgAAAAHgEAAGRycy9lMm9Eb2MueG1sUEsFBgAAAAAGAAYAWQEAAEAFAAAA&#10;AA==&#10;">
              <v:fill on="f" focussize="0,0"/>
              <v:stroke on="f"/>
              <v:imagedata o:title=""/>
              <o:lock v:ext="edit" aspectratio="f"/>
              <v:textbox inset="0mm,0mm,0mm,0mm" style="mso-fit-shape-to-text:t;">
                <w:txbxContent>
                  <w:p>
                    <w:pPr>
                      <w:pStyle w:val="7"/>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VrfS6AQAAYgMAAA4AAABkcnMvZTJvRG9jLnhtbK1TzY7TMBC+I/EO&#10;lu80aRGrKmq6Aq0WISFAWvYBXMduLPlPM26TvgC8AScu3HmuPgdjN+kiuCEuzvx+M9/MZHM7OsuO&#10;CtAE3/LlouZMeRk64/ctf/x8/2LNGSbhO2GDVy0/KeS32+fPNkNs1Cr0wXYKGIF4bIbY8j6l2FQV&#10;yl45gYsQlSenDuBEIhX2VQdiIHRnq1Vd31RDgC5CkAqRrHcXJ98WfK2VTB+1RpWYbTn1lsoL5d3l&#10;t9puRLMHEXsjpzbEP3ThhPFU9Ap1J5JgBzB/QTkjIWDQaSGDq4LWRqrCgdgs6z/YPPQiqsKFhoPx&#10;Oib8f7Dyw/ETMNPR7jjzwtGKzt++nr//PP/4wpZ5PEPEhqIeIsWl8U0Yc+hkRzJm1qMGl7/Eh5Gf&#10;Bn26DleNicmctF6t1zW5JPlmhXCqp/QImN6q4FgWWg60vTJUcXyP6RI6h+RqPtwba8kuGuvZ0PKb&#10;l6/qknD1ELj1OUCVW5hgMqVL61lK426c+OxCdyKaA91Dyz0dLGf2nadx59OZBZiF3SwcIph9X24r&#10;18L4+pCot9JyrnCBJapZoUUW0tPR5Uv5XS9RT7/G9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z&#10;SVju0AAAAAUBAAAPAAAAAAAAAAEAIAAAACIAAABkcnMvZG93bnJldi54bWxQSwECFAAUAAAACACH&#10;TuJAMpWt9LoBAABiAwAADgAAAAAAAAABACAAAAAfAQAAZHJzL2Uyb0RvYy54bWxQSwUGAAAAAAYA&#10;BgBZAQAASwUAAAAA&#10;">
              <v:fill on="f" focussize="0,0"/>
              <v:stroke on="f" weight="0.5pt"/>
              <v:imagedata o:title=""/>
              <o:lock v:ext="edit" aspectratio="f"/>
              <v:textbox inset="0mm,0mm,0mm,0mm" style="mso-fit-shape-to-text:t;">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7D8669"/>
    <w:multiLevelType w:val="singleLevel"/>
    <w:tmpl w:val="D37D8669"/>
    <w:lvl w:ilvl="0" w:tentative="0">
      <w:start w:val="4"/>
      <w:numFmt w:val="chineseCounting"/>
      <w:suff w:val="nothing"/>
      <w:lvlText w:val="%1、"/>
      <w:lvlJc w:val="left"/>
      <w:rPr>
        <w:rFonts w:hint="eastAsia"/>
      </w:rPr>
    </w:lvl>
  </w:abstractNum>
  <w:abstractNum w:abstractNumId="1">
    <w:nsid w:val="3983044D"/>
    <w:multiLevelType w:val="multilevel"/>
    <w:tmpl w:val="3983044D"/>
    <w:lvl w:ilvl="0" w:tentative="0">
      <w:start w:val="1"/>
      <w:numFmt w:val="decimal"/>
      <w:pStyle w:val="9"/>
      <w:lvlText w:val="第%1章"/>
      <w:lvlJc w:val="left"/>
      <w:pPr>
        <w:tabs>
          <w:tab w:val="left" w:pos="425"/>
        </w:tabs>
        <w:ind w:left="425" w:hanging="425"/>
      </w:pPr>
      <w:rPr>
        <w:rFonts w:hint="eastAsia" w:ascii="Times New Roman" w:hAnsi="Times New Roman" w:cs="Times New Roman"/>
        <w:i w:val="0"/>
        <w:iCs w:val="0"/>
        <w:caps w:val="0"/>
        <w:smallCaps w:val="0"/>
        <w:strike w:val="0"/>
        <w:dstrike w:val="0"/>
        <w:vanish w:val="0"/>
        <w:spacing w:val="0"/>
        <w:position w:val="0"/>
        <w:u w:val="none"/>
        <w:vertAlign w:val="baseline"/>
      </w:rPr>
    </w:lvl>
    <w:lvl w:ilvl="1" w:tentative="0">
      <w:start w:val="1"/>
      <w:numFmt w:val="decimal"/>
      <w:isLgl/>
      <w:lvlText w:val="%1.%2"/>
      <w:lvlJc w:val="left"/>
      <w:pPr>
        <w:tabs>
          <w:tab w:val="left" w:pos="709"/>
        </w:tabs>
        <w:ind w:left="709" w:hanging="567"/>
      </w:pPr>
      <w:rPr>
        <w:rFonts w:hint="default" w:ascii="Times New Roman" w:hAnsi="Times New Roman" w:cs="Times New Roman"/>
        <w:lang w:val="en-US"/>
      </w:rPr>
    </w:lvl>
    <w:lvl w:ilvl="2" w:tentative="0">
      <w:start w:val="1"/>
      <w:numFmt w:val="decimal"/>
      <w:isLgl/>
      <w:lvlText w:val="%1.%2.%3"/>
      <w:lvlJc w:val="left"/>
      <w:pPr>
        <w:tabs>
          <w:tab w:val="left" w:pos="709"/>
        </w:tabs>
        <w:ind w:left="709" w:hanging="709"/>
      </w:pPr>
      <w:rPr>
        <w:rFonts w:hint="eastAsia"/>
        <w:sz w:val="32"/>
        <w:szCs w:val="32"/>
      </w:rPr>
    </w:lvl>
    <w:lvl w:ilvl="3" w:tentative="0">
      <w:start w:val="1"/>
      <w:numFmt w:val="decimal"/>
      <w:isLgl/>
      <w:lvlText w:val="%1.%2.%3.%4."/>
      <w:lvlJc w:val="left"/>
      <w:pPr>
        <w:tabs>
          <w:tab w:val="left" w:pos="851"/>
        </w:tabs>
        <w:ind w:left="851" w:hanging="851"/>
      </w:pPr>
      <w:rPr>
        <w:rFonts w:hint="eastAsia"/>
      </w:rPr>
    </w:lvl>
    <w:lvl w:ilvl="4" w:tentative="0">
      <w:start w:val="1"/>
      <w:numFmt w:val="decimal"/>
      <w:isLg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6C462393"/>
    <w:multiLevelType w:val="singleLevel"/>
    <w:tmpl w:val="6C462393"/>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1F1BC1"/>
    <w:rsid w:val="003234A2"/>
    <w:rsid w:val="00ED5986"/>
    <w:rsid w:val="015C15C8"/>
    <w:rsid w:val="01A55917"/>
    <w:rsid w:val="01F9240B"/>
    <w:rsid w:val="02164D03"/>
    <w:rsid w:val="024129E8"/>
    <w:rsid w:val="03B504A3"/>
    <w:rsid w:val="03E64E48"/>
    <w:rsid w:val="045C18E2"/>
    <w:rsid w:val="048765FD"/>
    <w:rsid w:val="05002A44"/>
    <w:rsid w:val="059576B4"/>
    <w:rsid w:val="05F14414"/>
    <w:rsid w:val="05FC035D"/>
    <w:rsid w:val="06190F92"/>
    <w:rsid w:val="06C70A28"/>
    <w:rsid w:val="06E35ECB"/>
    <w:rsid w:val="072B7A0D"/>
    <w:rsid w:val="07CD4069"/>
    <w:rsid w:val="08443130"/>
    <w:rsid w:val="092B7D06"/>
    <w:rsid w:val="0AAA6366"/>
    <w:rsid w:val="0AD22E4F"/>
    <w:rsid w:val="0C137D51"/>
    <w:rsid w:val="0C177C63"/>
    <w:rsid w:val="0CD234DE"/>
    <w:rsid w:val="0D1B2C62"/>
    <w:rsid w:val="0D43237B"/>
    <w:rsid w:val="0D62096D"/>
    <w:rsid w:val="0E1A3B33"/>
    <w:rsid w:val="0EA74C52"/>
    <w:rsid w:val="0F4D0AAA"/>
    <w:rsid w:val="0F876305"/>
    <w:rsid w:val="0FE963AA"/>
    <w:rsid w:val="102671C6"/>
    <w:rsid w:val="10BE3A00"/>
    <w:rsid w:val="10D32A8B"/>
    <w:rsid w:val="10E00EC0"/>
    <w:rsid w:val="11D648D0"/>
    <w:rsid w:val="123C2076"/>
    <w:rsid w:val="1250459A"/>
    <w:rsid w:val="13AD22D8"/>
    <w:rsid w:val="13B6640F"/>
    <w:rsid w:val="13C70442"/>
    <w:rsid w:val="14061AED"/>
    <w:rsid w:val="144530BD"/>
    <w:rsid w:val="148361ED"/>
    <w:rsid w:val="14B95C8D"/>
    <w:rsid w:val="14DF53F8"/>
    <w:rsid w:val="156D0C34"/>
    <w:rsid w:val="165556AF"/>
    <w:rsid w:val="16944A3A"/>
    <w:rsid w:val="16A50DF1"/>
    <w:rsid w:val="17341F4E"/>
    <w:rsid w:val="17B6633B"/>
    <w:rsid w:val="18370023"/>
    <w:rsid w:val="1888140E"/>
    <w:rsid w:val="18B65219"/>
    <w:rsid w:val="19C31ED3"/>
    <w:rsid w:val="1A091129"/>
    <w:rsid w:val="1AD9768B"/>
    <w:rsid w:val="1AE44971"/>
    <w:rsid w:val="1B3255AD"/>
    <w:rsid w:val="1B3F6E41"/>
    <w:rsid w:val="1B8078AA"/>
    <w:rsid w:val="1B9860D1"/>
    <w:rsid w:val="1CE56278"/>
    <w:rsid w:val="1CED603F"/>
    <w:rsid w:val="1D035D8A"/>
    <w:rsid w:val="1D492B45"/>
    <w:rsid w:val="1D6A5E3A"/>
    <w:rsid w:val="1D943845"/>
    <w:rsid w:val="1DBC0763"/>
    <w:rsid w:val="1E4B14A5"/>
    <w:rsid w:val="1EB34817"/>
    <w:rsid w:val="1F6313D4"/>
    <w:rsid w:val="1F682713"/>
    <w:rsid w:val="1F9138D8"/>
    <w:rsid w:val="206B4FD7"/>
    <w:rsid w:val="210E4902"/>
    <w:rsid w:val="21126B5A"/>
    <w:rsid w:val="216721D9"/>
    <w:rsid w:val="2185500C"/>
    <w:rsid w:val="22557CA5"/>
    <w:rsid w:val="22F97D63"/>
    <w:rsid w:val="233B2083"/>
    <w:rsid w:val="23880F5A"/>
    <w:rsid w:val="24400708"/>
    <w:rsid w:val="24657643"/>
    <w:rsid w:val="24D2586A"/>
    <w:rsid w:val="264458BD"/>
    <w:rsid w:val="2649670E"/>
    <w:rsid w:val="266C3F2A"/>
    <w:rsid w:val="267F16A9"/>
    <w:rsid w:val="268545F5"/>
    <w:rsid w:val="26A8437A"/>
    <w:rsid w:val="28060F58"/>
    <w:rsid w:val="281C6C84"/>
    <w:rsid w:val="2839235F"/>
    <w:rsid w:val="29773EF4"/>
    <w:rsid w:val="2A3967D5"/>
    <w:rsid w:val="2A930A9D"/>
    <w:rsid w:val="2AA750BD"/>
    <w:rsid w:val="2AC94DBF"/>
    <w:rsid w:val="2B0C0D2B"/>
    <w:rsid w:val="2BC02B6F"/>
    <w:rsid w:val="2C594250"/>
    <w:rsid w:val="2C801F12"/>
    <w:rsid w:val="2C860B4C"/>
    <w:rsid w:val="2CAB4F54"/>
    <w:rsid w:val="2D0E71F7"/>
    <w:rsid w:val="2DAF3E40"/>
    <w:rsid w:val="2DB46A8B"/>
    <w:rsid w:val="2E1D22F9"/>
    <w:rsid w:val="2E234B41"/>
    <w:rsid w:val="2E9B18E9"/>
    <w:rsid w:val="2F1C2560"/>
    <w:rsid w:val="2F6A4E58"/>
    <w:rsid w:val="2F955B05"/>
    <w:rsid w:val="2FAC2109"/>
    <w:rsid w:val="2FCF4021"/>
    <w:rsid w:val="300F55E6"/>
    <w:rsid w:val="30401638"/>
    <w:rsid w:val="305029DC"/>
    <w:rsid w:val="30777594"/>
    <w:rsid w:val="31093867"/>
    <w:rsid w:val="311C22A0"/>
    <w:rsid w:val="312C2A52"/>
    <w:rsid w:val="318E442D"/>
    <w:rsid w:val="31BE2E7F"/>
    <w:rsid w:val="31DC4DAD"/>
    <w:rsid w:val="31F20FFF"/>
    <w:rsid w:val="32983AB0"/>
    <w:rsid w:val="32EE540A"/>
    <w:rsid w:val="334D3745"/>
    <w:rsid w:val="34254E5C"/>
    <w:rsid w:val="344C595B"/>
    <w:rsid w:val="345B3810"/>
    <w:rsid w:val="34F373ED"/>
    <w:rsid w:val="35270760"/>
    <w:rsid w:val="352E2DB9"/>
    <w:rsid w:val="35475A71"/>
    <w:rsid w:val="35845A05"/>
    <w:rsid w:val="358E506D"/>
    <w:rsid w:val="364A5420"/>
    <w:rsid w:val="366053C6"/>
    <w:rsid w:val="37066B10"/>
    <w:rsid w:val="37253E8A"/>
    <w:rsid w:val="37DA3D41"/>
    <w:rsid w:val="38E726E0"/>
    <w:rsid w:val="392571E1"/>
    <w:rsid w:val="3A2E3E02"/>
    <w:rsid w:val="3A7E525E"/>
    <w:rsid w:val="3AB83781"/>
    <w:rsid w:val="3B705BA2"/>
    <w:rsid w:val="3BA70108"/>
    <w:rsid w:val="3BF010C8"/>
    <w:rsid w:val="3C2B6D87"/>
    <w:rsid w:val="3C815550"/>
    <w:rsid w:val="3D07146C"/>
    <w:rsid w:val="3D210F01"/>
    <w:rsid w:val="3D2250D9"/>
    <w:rsid w:val="3D321B9A"/>
    <w:rsid w:val="3DA35F93"/>
    <w:rsid w:val="3E0456CC"/>
    <w:rsid w:val="3E0A6EC5"/>
    <w:rsid w:val="3E4329DB"/>
    <w:rsid w:val="3E534551"/>
    <w:rsid w:val="3E5F4AE1"/>
    <w:rsid w:val="3E643C41"/>
    <w:rsid w:val="3EA93C5B"/>
    <w:rsid w:val="3F3F5454"/>
    <w:rsid w:val="3F4C4055"/>
    <w:rsid w:val="400B5E21"/>
    <w:rsid w:val="40195122"/>
    <w:rsid w:val="401B42EA"/>
    <w:rsid w:val="40350A82"/>
    <w:rsid w:val="40A13EA0"/>
    <w:rsid w:val="40B80197"/>
    <w:rsid w:val="40C31E27"/>
    <w:rsid w:val="411C319B"/>
    <w:rsid w:val="41383B1C"/>
    <w:rsid w:val="41746BE4"/>
    <w:rsid w:val="418B5C22"/>
    <w:rsid w:val="41AB4AA6"/>
    <w:rsid w:val="41C75D77"/>
    <w:rsid w:val="41DE4E43"/>
    <w:rsid w:val="41EC0535"/>
    <w:rsid w:val="424A0EAC"/>
    <w:rsid w:val="426F0B0E"/>
    <w:rsid w:val="42EB101F"/>
    <w:rsid w:val="42F332E6"/>
    <w:rsid w:val="43173ACA"/>
    <w:rsid w:val="43182454"/>
    <w:rsid w:val="43CD6976"/>
    <w:rsid w:val="44402F88"/>
    <w:rsid w:val="446F6321"/>
    <w:rsid w:val="44D06CEB"/>
    <w:rsid w:val="4522704B"/>
    <w:rsid w:val="45780A86"/>
    <w:rsid w:val="459A1B0A"/>
    <w:rsid w:val="46A1726F"/>
    <w:rsid w:val="471E3A4F"/>
    <w:rsid w:val="473964E9"/>
    <w:rsid w:val="477F6C5D"/>
    <w:rsid w:val="47BC323F"/>
    <w:rsid w:val="48EA0A19"/>
    <w:rsid w:val="4B17326C"/>
    <w:rsid w:val="4B597946"/>
    <w:rsid w:val="4B683CC5"/>
    <w:rsid w:val="4B6E364F"/>
    <w:rsid w:val="4B775B45"/>
    <w:rsid w:val="4BC30B5B"/>
    <w:rsid w:val="4D4A2D99"/>
    <w:rsid w:val="4D5A6673"/>
    <w:rsid w:val="4D6E4D26"/>
    <w:rsid w:val="4D8F10CB"/>
    <w:rsid w:val="4DCF478C"/>
    <w:rsid w:val="4E3E6481"/>
    <w:rsid w:val="4E6F0D56"/>
    <w:rsid w:val="4E6F51FA"/>
    <w:rsid w:val="4E9D232A"/>
    <w:rsid w:val="4F0D074B"/>
    <w:rsid w:val="4F367AC5"/>
    <w:rsid w:val="4F714652"/>
    <w:rsid w:val="50870DA9"/>
    <w:rsid w:val="508E2032"/>
    <w:rsid w:val="50F9648E"/>
    <w:rsid w:val="514C30F0"/>
    <w:rsid w:val="51576579"/>
    <w:rsid w:val="517F4BC4"/>
    <w:rsid w:val="52417591"/>
    <w:rsid w:val="525147A7"/>
    <w:rsid w:val="52600A83"/>
    <w:rsid w:val="52832978"/>
    <w:rsid w:val="52946FDD"/>
    <w:rsid w:val="53BC416F"/>
    <w:rsid w:val="54046DFD"/>
    <w:rsid w:val="54231017"/>
    <w:rsid w:val="543B3E9E"/>
    <w:rsid w:val="545E21E7"/>
    <w:rsid w:val="548E4D48"/>
    <w:rsid w:val="54D10D94"/>
    <w:rsid w:val="554D1082"/>
    <w:rsid w:val="556319C1"/>
    <w:rsid w:val="557650C0"/>
    <w:rsid w:val="567E71F5"/>
    <w:rsid w:val="56B71DE4"/>
    <w:rsid w:val="570064CA"/>
    <w:rsid w:val="57544F8D"/>
    <w:rsid w:val="58550B66"/>
    <w:rsid w:val="58C63C68"/>
    <w:rsid w:val="5942257E"/>
    <w:rsid w:val="597C6A1D"/>
    <w:rsid w:val="59A73A9A"/>
    <w:rsid w:val="5A7A0CFF"/>
    <w:rsid w:val="5ABB756A"/>
    <w:rsid w:val="5AC24977"/>
    <w:rsid w:val="5B0B3CDA"/>
    <w:rsid w:val="5BA51563"/>
    <w:rsid w:val="5CBA6BA1"/>
    <w:rsid w:val="5D1A3453"/>
    <w:rsid w:val="5D700084"/>
    <w:rsid w:val="5D731CE1"/>
    <w:rsid w:val="5E166C88"/>
    <w:rsid w:val="5E2D1110"/>
    <w:rsid w:val="5E475458"/>
    <w:rsid w:val="5E9070DA"/>
    <w:rsid w:val="5F6D510E"/>
    <w:rsid w:val="5F9755FB"/>
    <w:rsid w:val="602F75DC"/>
    <w:rsid w:val="60857625"/>
    <w:rsid w:val="60D42188"/>
    <w:rsid w:val="610253B6"/>
    <w:rsid w:val="614C2928"/>
    <w:rsid w:val="61930DA7"/>
    <w:rsid w:val="61B054B5"/>
    <w:rsid w:val="61EA56B3"/>
    <w:rsid w:val="61EF75BD"/>
    <w:rsid w:val="62036EF5"/>
    <w:rsid w:val="62925F9A"/>
    <w:rsid w:val="629C0E43"/>
    <w:rsid w:val="62C85E72"/>
    <w:rsid w:val="64415807"/>
    <w:rsid w:val="645C36D2"/>
    <w:rsid w:val="656A0E4C"/>
    <w:rsid w:val="659D0447"/>
    <w:rsid w:val="65C37F02"/>
    <w:rsid w:val="65CF7598"/>
    <w:rsid w:val="662830A3"/>
    <w:rsid w:val="6746007E"/>
    <w:rsid w:val="67CC6DC1"/>
    <w:rsid w:val="67E2596F"/>
    <w:rsid w:val="67F66B9D"/>
    <w:rsid w:val="68DD5B96"/>
    <w:rsid w:val="68EE7135"/>
    <w:rsid w:val="68FF2F3A"/>
    <w:rsid w:val="693B41FE"/>
    <w:rsid w:val="69655E7A"/>
    <w:rsid w:val="69994CD7"/>
    <w:rsid w:val="69B14C74"/>
    <w:rsid w:val="6A790E3A"/>
    <w:rsid w:val="6BCD6A66"/>
    <w:rsid w:val="6C0E4753"/>
    <w:rsid w:val="6CC00D01"/>
    <w:rsid w:val="6CEF0180"/>
    <w:rsid w:val="6E4B1278"/>
    <w:rsid w:val="6EF51F98"/>
    <w:rsid w:val="6F4F392C"/>
    <w:rsid w:val="6F626ACA"/>
    <w:rsid w:val="6F8C26AF"/>
    <w:rsid w:val="705636CC"/>
    <w:rsid w:val="70F15173"/>
    <w:rsid w:val="71771B4C"/>
    <w:rsid w:val="722D43F7"/>
    <w:rsid w:val="72A605C5"/>
    <w:rsid w:val="72BA5D1A"/>
    <w:rsid w:val="73142D5D"/>
    <w:rsid w:val="73CE71BA"/>
    <w:rsid w:val="749A2914"/>
    <w:rsid w:val="74E57755"/>
    <w:rsid w:val="75BA3E91"/>
    <w:rsid w:val="76170DCC"/>
    <w:rsid w:val="76DA7B35"/>
    <w:rsid w:val="777E1618"/>
    <w:rsid w:val="77D50318"/>
    <w:rsid w:val="78DF5D5C"/>
    <w:rsid w:val="790849A2"/>
    <w:rsid w:val="79657D37"/>
    <w:rsid w:val="79990A0D"/>
    <w:rsid w:val="79D92E11"/>
    <w:rsid w:val="7A033B76"/>
    <w:rsid w:val="7ACC4282"/>
    <w:rsid w:val="7AF929ED"/>
    <w:rsid w:val="7B287EEA"/>
    <w:rsid w:val="7C4537D8"/>
    <w:rsid w:val="7C777B41"/>
    <w:rsid w:val="7C9E654B"/>
    <w:rsid w:val="7CA53A11"/>
    <w:rsid w:val="7CC940C8"/>
    <w:rsid w:val="7CDB7866"/>
    <w:rsid w:val="7CEC5581"/>
    <w:rsid w:val="7D1A4DCC"/>
    <w:rsid w:val="7D9D7924"/>
    <w:rsid w:val="7DBA173E"/>
    <w:rsid w:val="7E50694E"/>
    <w:rsid w:val="7F1C33F6"/>
    <w:rsid w:val="7F4E72EA"/>
    <w:rsid w:val="7F93455B"/>
    <w:rsid w:val="7FCA0AE5"/>
    <w:rsid w:val="FDAB1AFF"/>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11">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4">
    <w:name w:val="index 8"/>
    <w:basedOn w:val="1"/>
    <w:next w:val="1"/>
    <w:unhideWhenUsed/>
    <w:qFormat/>
    <w:uiPriority w:val="0"/>
    <w:pPr>
      <w:ind w:left="1400" w:leftChars="1400"/>
    </w:pPr>
    <w:rPr>
      <w:rFonts w:hint="eastAsia"/>
      <w:sz w:val="21"/>
    </w:rPr>
  </w:style>
  <w:style w:type="paragraph" w:styleId="5">
    <w:name w:val="annotation text"/>
    <w:basedOn w:val="1"/>
    <w:qFormat/>
    <w:uiPriority w:val="0"/>
    <w:pPr>
      <w:jc w:val="left"/>
    </w:pPr>
  </w:style>
  <w:style w:type="paragraph" w:styleId="6">
    <w:name w:val="Body Text"/>
    <w:basedOn w:val="1"/>
    <w:qFormat/>
    <w:uiPriority w:val="0"/>
    <w:rPr>
      <w:rFonts w:ascii="方正仿宋_GBK" w:hAnsi="方正仿宋_GBK" w:eastAsia="方正仿宋_GBK" w:cs="方正仿宋_GBK"/>
      <w:sz w:val="32"/>
      <w:szCs w:val="32"/>
      <w:lang w:val="zh-CN" w:eastAsia="zh-CN" w:bidi="zh-CN"/>
    </w:rPr>
  </w:style>
  <w:style w:type="paragraph" w:styleId="7">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1"/>
    <w:unhideWhenUsed/>
    <w:qFormat/>
    <w:uiPriority w:val="99"/>
    <w:pPr>
      <w:numPr>
        <w:ilvl w:val="0"/>
        <w:numId w:val="1"/>
      </w:numPr>
      <w:adjustRightInd w:val="0"/>
      <w:spacing w:line="360" w:lineRule="auto"/>
      <w:textAlignment w:val="baseline"/>
    </w:pPr>
    <w:rPr>
      <w:rFonts w:ascii="Arial" w:hAnsi="Arial"/>
      <w:kern w:val="0"/>
      <w:sz w:val="24"/>
      <w:szCs w:val="24"/>
    </w:rPr>
  </w:style>
  <w:style w:type="paragraph" w:styleId="10">
    <w:name w:val="footnote text"/>
    <w:basedOn w:val="1"/>
    <w:qFormat/>
    <w:uiPriority w:val="0"/>
    <w:pPr>
      <w:snapToGrid w:val="0"/>
      <w:jc w:val="left"/>
    </w:pPr>
    <w:rPr>
      <w:sz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样式1"/>
    <w:basedOn w:val="4"/>
    <w:next w:val="1"/>
    <w:qFormat/>
    <w:uiPriority w:val="0"/>
    <w:rPr>
      <w:rFonts w:ascii="Calibri" w:hAnsi="Calibri" w:eastAsia="方正仿宋简体" w:cs="Times New Roman"/>
      <w:sz w:val="32"/>
    </w:rPr>
  </w:style>
  <w:style w:type="character" w:customStyle="1" w:styleId="15">
    <w:name w:val="font41"/>
    <w:basedOn w:val="11"/>
    <w:qFormat/>
    <w:uiPriority w:val="0"/>
    <w:rPr>
      <w:rFonts w:ascii="方正仿宋简体" w:hAnsi="方正仿宋简体" w:eastAsia="方正仿宋简体" w:cs="方正仿宋简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63</Pages>
  <Words>6138</Words>
  <Characters>7847</Characters>
  <Lines>0</Lines>
  <Paragraphs>0</Paragraphs>
  <TotalTime>14</TotalTime>
  <ScaleCrop>false</ScaleCrop>
  <LinksUpToDate>false</LinksUpToDate>
  <CharactersWithSpaces>7958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2023-01-28T13:27:00Z</dcterms:created>
  <dc:creator>Administrator</dc:creator>
  <cp:lastModifiedBy>策勒县财政局信息中心</cp:lastModifiedBy>
  <cp:lastPrinted>2026-01-22T10:25:00Z</cp:lastPrinted>
  <dcterms:modified xsi:type="dcterms:W3CDTF">2026-06-04T09:32:57Z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8F7368F222AA4EB7ABBAB6BBE8E9034F_13</vt:lpwstr>
  </property>
  <property fmtid="{D5CDD505-2E9C-101B-9397-08002B2CF9AE}" pid="4" name="KSOTemplateDocerSaveRecord">
    <vt:lpwstr>eyJoZGlkIjoiNTIzNjJjZjg4MTlkYjRjNGNkZDYwMmEyY2JiNDBjMDMiLCJ1c2VySWQiOiIzOTM2MTUzNzAifQ==</vt:lpwstr>
  </property>
</Properties>
</file>