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273E8">
      <w:pPr>
        <w:jc w:val="center"/>
        <w:rPr>
          <w:rFonts w:ascii="方正小标宋简体" w:eastAsia="方正小标宋简体"/>
          <w:sz w:val="36"/>
          <w:szCs w:val="36"/>
        </w:rPr>
      </w:pPr>
    </w:p>
    <w:p w14:paraId="016D40C5">
      <w:pPr>
        <w:jc w:val="center"/>
        <w:rPr>
          <w:rFonts w:ascii="方正小标宋简体" w:eastAsia="方正小标宋简体"/>
          <w:sz w:val="36"/>
          <w:szCs w:val="36"/>
        </w:rPr>
      </w:pPr>
    </w:p>
    <w:p w14:paraId="42A94647">
      <w:pPr>
        <w:jc w:val="center"/>
        <w:rPr>
          <w:rFonts w:ascii="方正小标宋简体" w:eastAsia="方正小标宋简体"/>
          <w:sz w:val="36"/>
          <w:szCs w:val="36"/>
        </w:rPr>
      </w:pPr>
    </w:p>
    <w:p w14:paraId="60C77850">
      <w:pPr>
        <w:jc w:val="center"/>
        <w:rPr>
          <w:rFonts w:ascii="方正小标宋简体" w:eastAsia="方正小标宋简体"/>
          <w:sz w:val="36"/>
          <w:szCs w:val="36"/>
        </w:rPr>
      </w:pPr>
    </w:p>
    <w:p w14:paraId="6B48446C">
      <w:pPr>
        <w:jc w:val="center"/>
        <w:rPr>
          <w:rFonts w:ascii="方正小标宋简体" w:eastAsia="方正小标宋简体"/>
          <w:sz w:val="36"/>
          <w:szCs w:val="36"/>
        </w:rPr>
      </w:pPr>
    </w:p>
    <w:p w14:paraId="7804CF04">
      <w:pPr>
        <w:jc w:val="center"/>
        <w:rPr>
          <w:rFonts w:hint="eastAsia" w:ascii="方正小标宋简体" w:eastAsia="方正小标宋简体"/>
          <w:b/>
          <w:bCs/>
          <w:sz w:val="44"/>
          <w:szCs w:val="44"/>
        </w:rPr>
      </w:pPr>
      <w:r>
        <w:rPr>
          <w:rFonts w:hint="eastAsia" w:ascii="方正小标宋简体" w:eastAsia="方正小标宋简体"/>
          <w:b/>
          <w:bCs/>
          <w:sz w:val="44"/>
          <w:szCs w:val="44"/>
        </w:rPr>
        <w:t>《</w:t>
      </w:r>
      <w:r>
        <w:rPr>
          <w:rFonts w:hint="eastAsia" w:ascii="方正小标宋简体" w:eastAsia="方正小标宋简体"/>
          <w:b/>
          <w:bCs/>
          <w:sz w:val="44"/>
          <w:szCs w:val="44"/>
          <w:lang w:val="en-US" w:eastAsia="zh-CN"/>
        </w:rPr>
        <w:t>策勒县</w:t>
      </w:r>
      <w:r>
        <w:rPr>
          <w:rFonts w:hint="eastAsia" w:ascii="方正小标宋简体" w:eastAsia="方正小标宋简体"/>
          <w:b/>
          <w:bCs/>
          <w:sz w:val="44"/>
          <w:szCs w:val="44"/>
          <w:lang w:eastAsia="zh-CN"/>
        </w:rPr>
        <w:t>达玛沟乡、</w:t>
      </w:r>
      <w:r>
        <w:rPr>
          <w:rFonts w:hint="eastAsia" w:ascii="方正小标宋简体" w:eastAsia="方正小标宋简体"/>
          <w:b/>
          <w:bCs/>
          <w:sz w:val="44"/>
          <w:szCs w:val="44"/>
          <w:lang w:val="en-US" w:eastAsia="zh-CN"/>
        </w:rPr>
        <w:t>恰哈乡、奴尔乡3个乡镇</w:t>
      </w:r>
      <w:r>
        <w:rPr>
          <w:rFonts w:hint="eastAsia" w:ascii="方正小标宋简体" w:eastAsia="方正小标宋简体"/>
          <w:b/>
          <w:bCs/>
          <w:sz w:val="44"/>
          <w:szCs w:val="44"/>
        </w:rPr>
        <w:t>国土空间总体规划</w:t>
      </w:r>
      <w:r>
        <w:rPr>
          <w:rFonts w:hint="eastAsia" w:ascii="方正小标宋简体" w:eastAsia="方正小标宋简体"/>
          <w:b/>
          <w:bCs/>
          <w:sz w:val="44"/>
          <w:szCs w:val="44"/>
          <w:lang w:eastAsia="zh-CN"/>
        </w:rPr>
        <w:t>(</w:t>
      </w:r>
      <w:r>
        <w:rPr>
          <w:rFonts w:hint="eastAsia" w:ascii="方正小标宋简体" w:eastAsia="方正小标宋简体"/>
          <w:b/>
          <w:bCs/>
          <w:sz w:val="44"/>
          <w:szCs w:val="44"/>
        </w:rPr>
        <w:t>2021-2035年</w:t>
      </w:r>
      <w:r>
        <w:rPr>
          <w:rFonts w:hint="eastAsia" w:ascii="方正小标宋简体" w:eastAsia="方正小标宋简体"/>
          <w:b/>
          <w:bCs/>
          <w:sz w:val="44"/>
          <w:szCs w:val="44"/>
          <w:lang w:eastAsia="zh-CN"/>
        </w:rPr>
        <w:t>)</w:t>
      </w:r>
      <w:r>
        <w:rPr>
          <w:rFonts w:hint="eastAsia" w:ascii="方正小标宋简体" w:eastAsia="方正小标宋简体"/>
          <w:b/>
          <w:bCs/>
          <w:sz w:val="44"/>
          <w:szCs w:val="44"/>
        </w:rPr>
        <w:t>》</w:t>
      </w:r>
    </w:p>
    <w:p w14:paraId="72B9CF0C">
      <w:pPr>
        <w:jc w:val="center"/>
        <w:rPr>
          <w:rFonts w:ascii="方正小标宋简体" w:eastAsia="方正小标宋简体"/>
          <w:sz w:val="48"/>
          <w:szCs w:val="48"/>
        </w:rPr>
      </w:pPr>
      <w:bookmarkStart w:id="67" w:name="_GoBack"/>
      <w:bookmarkEnd w:id="67"/>
    </w:p>
    <w:p w14:paraId="53D490D1">
      <w:pPr>
        <w:jc w:val="center"/>
        <w:rPr>
          <w:rFonts w:ascii="方正小标宋简体" w:eastAsia="方正小标宋简体"/>
          <w:sz w:val="48"/>
          <w:szCs w:val="48"/>
        </w:rPr>
      </w:pPr>
    </w:p>
    <w:p w14:paraId="3C565723">
      <w:pPr>
        <w:jc w:val="center"/>
        <w:rPr>
          <w:rFonts w:ascii="方正小标宋简体" w:eastAsia="方正小标宋简体"/>
          <w:sz w:val="48"/>
          <w:szCs w:val="48"/>
        </w:rPr>
      </w:pPr>
    </w:p>
    <w:p w14:paraId="2827764D">
      <w:pPr>
        <w:jc w:val="center"/>
        <w:rPr>
          <w:rFonts w:ascii="方正小标宋简体" w:eastAsia="方正小标宋简体"/>
          <w:sz w:val="48"/>
          <w:szCs w:val="48"/>
        </w:rPr>
      </w:pPr>
    </w:p>
    <w:p w14:paraId="4332CCFD">
      <w:pPr>
        <w:jc w:val="center"/>
        <w:rPr>
          <w:rFonts w:ascii="方正小标宋简体" w:eastAsia="方正小标宋简体"/>
          <w:sz w:val="48"/>
          <w:szCs w:val="48"/>
        </w:rPr>
      </w:pPr>
    </w:p>
    <w:p w14:paraId="7A899742">
      <w:pPr>
        <w:jc w:val="center"/>
        <w:rPr>
          <w:rFonts w:ascii="方正小标宋简体" w:eastAsia="方正小标宋简体"/>
          <w:sz w:val="48"/>
          <w:szCs w:val="48"/>
        </w:rPr>
      </w:pPr>
    </w:p>
    <w:p w14:paraId="3CCAA566">
      <w:pPr>
        <w:jc w:val="center"/>
        <w:rPr>
          <w:rFonts w:hint="eastAsia" w:ascii="楷体" w:hAnsi="楷体" w:eastAsia="楷体" w:cs="楷体"/>
          <w:b w:val="0"/>
          <w:bCs w:val="0"/>
          <w:sz w:val="30"/>
          <w:szCs w:val="30"/>
          <w:lang w:val="en-US" w:eastAsia="zh-CN"/>
        </w:rPr>
      </w:pPr>
      <w:r>
        <w:rPr>
          <w:rFonts w:hint="eastAsia" w:ascii="楷体" w:hAnsi="楷体" w:eastAsia="楷体" w:cs="楷体"/>
          <w:b w:val="0"/>
          <w:bCs w:val="0"/>
          <w:sz w:val="30"/>
          <w:szCs w:val="30"/>
          <w:lang w:val="en-US" w:eastAsia="zh-CN"/>
        </w:rPr>
        <w:t>2025年4月</w:t>
      </w:r>
    </w:p>
    <w:p w14:paraId="2E2AB09C">
      <w:pPr>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br w:type="page"/>
      </w:r>
    </w:p>
    <w:p w14:paraId="404DDDC1">
      <w:pPr>
        <w:pStyle w:val="2"/>
        <w:spacing w:before="0" w:after="0"/>
        <w:jc w:val="center"/>
        <w:rPr>
          <w:rFonts w:hint="eastAsia" w:ascii="黑体" w:hAnsi="黑体" w:eastAsia="黑体"/>
          <w:b/>
          <w:bCs/>
          <w:color w:val="000000" w:themeColor="text1"/>
          <w:sz w:val="28"/>
          <w:szCs w:val="28"/>
          <w:lang w:val="en-US" w:eastAsia="zh-CN"/>
          <w14:textFill>
            <w14:solidFill>
              <w14:schemeClr w14:val="tx1"/>
            </w14:solidFill>
          </w14:textFill>
        </w:rPr>
      </w:pPr>
      <w:bookmarkStart w:id="0" w:name="_Toc24447"/>
      <w:bookmarkStart w:id="1" w:name="_Toc20464"/>
      <w:r>
        <w:rPr>
          <w:rFonts w:hint="eastAsia" w:ascii="黑体" w:hAnsi="黑体" w:eastAsia="黑体"/>
          <w:b/>
          <w:bCs/>
          <w:color w:val="000000" w:themeColor="text1"/>
          <w:sz w:val="28"/>
          <w:szCs w:val="28"/>
          <w:lang w:val="en-US" w:eastAsia="zh-CN"/>
          <w14:textFill>
            <w14:solidFill>
              <w14:schemeClr w14:val="tx1"/>
            </w14:solidFill>
          </w14:textFill>
        </w:rPr>
        <w:t>目  录</w:t>
      </w:r>
      <w:bookmarkEnd w:id="0"/>
      <w:bookmarkEnd w:id="1"/>
    </w:p>
    <w:p w14:paraId="0F66CD02">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_Toc25559 </w:instrText>
      </w:r>
      <w:r>
        <w:rPr>
          <w:rFonts w:hint="eastAsia" w:ascii="黑体" w:hAnsi="黑体" w:eastAsia="黑体" w:cs="黑体"/>
          <w:sz w:val="32"/>
          <w:szCs w:val="32"/>
        </w:rPr>
        <w:fldChar w:fldCharType="separate"/>
      </w:r>
      <w:r>
        <w:rPr>
          <w:rFonts w:hint="eastAsia" w:ascii="黑体" w:hAnsi="黑体" w:eastAsia="黑体" w:cs="黑体"/>
          <w:bCs/>
          <w:sz w:val="32"/>
          <w:szCs w:val="32"/>
        </w:rPr>
        <w:t>一、前言</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_Toc25559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黑体" w:hAnsi="黑体" w:eastAsia="黑体" w:cs="黑体"/>
          <w:sz w:val="32"/>
          <w:szCs w:val="32"/>
        </w:rPr>
        <w:fldChar w:fldCharType="end"/>
      </w:r>
    </w:p>
    <w:p w14:paraId="0E9D95FC">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_Toc28923 </w:instrText>
      </w:r>
      <w:r>
        <w:rPr>
          <w:rFonts w:hint="eastAsia" w:ascii="仿宋_GB2312" w:hAnsi="仿宋_GB2312" w:eastAsia="仿宋_GB2312" w:cs="仿宋_GB2312"/>
          <w:sz w:val="32"/>
          <w:szCs w:val="32"/>
        </w:rPr>
        <w:fldChar w:fldCharType="separate"/>
      </w:r>
      <w:r>
        <w:rPr>
          <w:rFonts w:hint="eastAsia" w:ascii="黑体" w:hAnsi="黑体" w:eastAsia="黑体" w:cs="黑体"/>
          <w:bCs/>
          <w:sz w:val="32"/>
          <w:szCs w:val="32"/>
          <w:lang w:val="en-US" w:eastAsia="zh-CN"/>
        </w:rPr>
        <w:t>二</w:t>
      </w:r>
      <w:r>
        <w:rPr>
          <w:rFonts w:hint="eastAsia" w:ascii="黑体" w:hAnsi="黑体" w:eastAsia="黑体" w:cs="黑体"/>
          <w:bCs/>
          <w:sz w:val="32"/>
          <w:szCs w:val="32"/>
        </w:rPr>
        <w:t>、</w:t>
      </w:r>
      <w:r>
        <w:rPr>
          <w:rFonts w:hint="eastAsia" w:ascii="黑体" w:hAnsi="黑体" w:eastAsia="黑体" w:cs="黑体"/>
          <w:bCs/>
          <w:sz w:val="32"/>
          <w:szCs w:val="32"/>
          <w:lang w:val="en-US" w:eastAsia="zh-CN"/>
        </w:rPr>
        <w:t>评估概况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2D6AD0">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_Toc14199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评估目的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5209C5">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）评估依据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8E65CF">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（三）评估原则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5F1C7AA">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_Toc19618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（四）评估内容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EBD6C2">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（五）评估方法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57FBD0">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_Toc13530 </w:instrText>
      </w:r>
      <w:r>
        <w:rPr>
          <w:rFonts w:hint="eastAsia" w:ascii="仿宋_GB2312" w:hAnsi="仿宋_GB2312" w:eastAsia="仿宋_GB2312" w:cs="仿宋_GB2312"/>
          <w:sz w:val="32"/>
          <w:szCs w:val="32"/>
        </w:rPr>
        <w:fldChar w:fldCharType="separate"/>
      </w:r>
      <w:r>
        <w:rPr>
          <w:rFonts w:hint="eastAsia" w:ascii="黑体" w:hAnsi="黑体" w:eastAsia="黑体" w:cs="黑体"/>
          <w:bCs/>
          <w:sz w:val="32"/>
          <w:szCs w:val="32"/>
          <w:lang w:val="en-US" w:eastAsia="zh-CN"/>
        </w:rPr>
        <w:t>三、风险分析与评估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F93062">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（一）风险因素识别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6EC18D">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_Toc24594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（二）文献研究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AE6303">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（三）主要风险因素评估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354D0F">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（四）风险等级初判断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E79BBE">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_Toc27497 </w:instrText>
      </w:r>
      <w:r>
        <w:rPr>
          <w:rFonts w:hint="eastAsia" w:ascii="仿宋_GB2312" w:hAnsi="仿宋_GB2312" w:eastAsia="仿宋_GB2312" w:cs="仿宋_GB2312"/>
          <w:sz w:val="32"/>
          <w:szCs w:val="32"/>
        </w:rPr>
        <w:fldChar w:fldCharType="separate"/>
      </w:r>
      <w:r>
        <w:rPr>
          <w:rFonts w:hint="eastAsia" w:ascii="黑体" w:hAnsi="黑体" w:eastAsia="黑体" w:cs="黑体"/>
          <w:bCs/>
          <w:sz w:val="32"/>
          <w:szCs w:val="32"/>
          <w:lang w:val="en-US" w:eastAsia="zh-CN"/>
        </w:rPr>
        <w:t>四、风险防范措施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57B5EF">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（一）加强与国家、自治区相关法规研究和衔接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84268B">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_Toc21221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（二）加强县乡协同上下联动机制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_Toc21221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F31F4D">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_Toc7006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（三）应急处置预案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6FF43B">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_Toc25862 </w:instrText>
      </w:r>
      <w:r>
        <w:rPr>
          <w:rFonts w:hint="eastAsia" w:ascii="仿宋_GB2312" w:hAnsi="仿宋_GB2312" w:eastAsia="仿宋_GB2312" w:cs="仿宋_GB2312"/>
          <w:sz w:val="32"/>
          <w:szCs w:val="32"/>
        </w:rPr>
        <w:fldChar w:fldCharType="separate"/>
      </w:r>
      <w:r>
        <w:rPr>
          <w:rFonts w:hint="eastAsia" w:ascii="黑体" w:hAnsi="黑体" w:eastAsia="黑体" w:cs="黑体"/>
          <w:bCs/>
          <w:sz w:val="32"/>
          <w:szCs w:val="32"/>
          <w:lang w:val="en-US" w:eastAsia="zh-CN"/>
        </w:rPr>
        <w:t>五、风险评估结论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76044B">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（一）主要风险因素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ADC0FD">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（二）初步风险评估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52943C">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_Toc5537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（三）风险防范措施和处置预案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_Toc5537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7473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hAnsi="仿宋_GB2312" w:eastAsia="仿宋_GB2312" w:cs="仿宋_GB2312"/>
          <w:sz w:val="32"/>
          <w:szCs w:val="32"/>
        </w:rPr>
        <w:fldChar w:fldCharType="end"/>
      </w:r>
    </w:p>
    <w:p w14:paraId="353AB8EB">
      <w:pPr>
        <w:pStyle w:val="2"/>
        <w:spacing w:before="0" w:after="0"/>
        <w:rPr>
          <w:rFonts w:hint="eastAsia" w:ascii="黑体" w:hAnsi="黑体" w:eastAsia="黑体"/>
          <w:b/>
          <w:bCs/>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2" w:name="_Toc13125"/>
      <w:bookmarkStart w:id="3" w:name="_Toc25559"/>
    </w:p>
    <w:p w14:paraId="1531B4EA">
      <w:pPr>
        <w:pStyle w:val="2"/>
        <w:spacing w:before="0" w:after="0"/>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一、前言</w:t>
      </w:r>
      <w:bookmarkEnd w:id="2"/>
      <w:bookmarkEnd w:id="3"/>
    </w:p>
    <w:p w14:paraId="1E6A2B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重大行政决策风险评估是指重大行政决策的实施可能对经济发展、社会稳定、公共安全、生态环境等造成不利影响的，决策承办单位或者负责风险评估工作的其他单位，在重大行政决策作出前，对决策事项可能引发的风险进行预测、研判，提出防范措施，评估决策草案的风险可控性。 </w:t>
      </w:r>
    </w:p>
    <w:p w14:paraId="59185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重大行政决策包括重大公共政策、重大规划、重大公共建设项目、重大事项，具体为制定有关劳动就业、社会保障、教育科技、医疗卫生、文化体育等公共服务方面的重大公共政策和措施；制定有关市场监管、社会管理、生态环境保护等方面的重大公共政策和措施；制定经济和社会发展方面重要的总体规划、区域规划和专项规划；制定开发利用或者保护水、土地、能源、矿产、生物等重要自然资源的重大公共政策和措施；制定开发利用或者保护历史文化街区、传统村落、风景名胜区以及其他重要文化资源的重大公共政策和措施；决定在本行政区域实施的重大公共建设项目；决定对经济社会发展有重大影响、涉及重大公共利益或者社会公众切身利益的其他重大事项。</w:t>
      </w:r>
    </w:p>
    <w:p w14:paraId="5BBE27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重大行政决策具有全局性、长远性、根本性、公众性等“四大特征”。“四大特征”具体来讲：全局性是事关本行政区域政治稳定、经济建设和社会发展大局的决策；根本性是对事物的发展和局势的变化起关键作用的决策；长远性是指需要逐步实施，涉及时空跨度较长的事项；公众性是指与广大人民群众密切相关且是群众关心的决策。</w:t>
      </w:r>
    </w:p>
    <w:p w14:paraId="32639F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党的十八大以来，党中央、国务院十分重视科学、民主、依法决策。党的十八届四中全会指出，健全依法决策机制，把公众参与、专家论证、风险评估、合法性审查、集体讨论决定确定为重大行政决策的法定程序，建立行政机关内部重大决策合法性审查机制。党的十九届四中全会提出，健全决策机制，加强重大决策的调查研究、科学论证、风险评估，强化决策执行、评估、监督。2019年4月，国务院公布《重大行政决策程序暂行条例》(以下简称《暂行条例》)；2022年4月13日，新疆人民政府印发了《新疆维吾尔自治区重大行政决策程序规定》，自治区行政区域内县级以上人民政府负责本规定在本行政区域内的实施工作。</w:t>
      </w:r>
    </w:p>
    <w:p w14:paraId="3892D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新疆维吾尔自治区重大行政决策程序规定》第五条第三款、第二十九条，制定经济和社会发展方面重要的总体规划、区域规划和专项规划，属于重大行政决策事项，应当评估决策草案的风险可控性。为切实从源头上规避、预防和消除《策勒县达玛沟乡、恰哈乡、奴尔乡3个乡镇国土空间总体规划(2021-2035年)》（以下简称《规划》）实施中可能出现的不利影响，特开展《规划》的风险评估工作。</w:t>
      </w:r>
    </w:p>
    <w:p w14:paraId="099C02D6">
      <w:pPr>
        <w:pStyle w:val="2"/>
        <w:spacing w:before="0" w:after="0"/>
        <w:rPr>
          <w:rFonts w:hint="default" w:ascii="黑体" w:hAnsi="黑体" w:eastAsia="黑体"/>
          <w:b/>
          <w:bCs/>
          <w:color w:val="000000" w:themeColor="text1"/>
          <w:sz w:val="28"/>
          <w:szCs w:val="28"/>
          <w:lang w:val="en-US" w:eastAsia="zh-CN"/>
          <w14:textFill>
            <w14:solidFill>
              <w14:schemeClr w14:val="tx1"/>
            </w14:solidFill>
          </w14:textFill>
        </w:rPr>
      </w:pPr>
      <w:bookmarkStart w:id="4" w:name="_Toc26070"/>
      <w:bookmarkStart w:id="5" w:name="_Toc28923"/>
      <w:r>
        <w:rPr>
          <w:rFonts w:hint="eastAsia" w:ascii="黑体" w:hAnsi="黑体" w:eastAsia="黑体"/>
          <w:b/>
          <w:bCs/>
          <w:color w:val="000000" w:themeColor="text1"/>
          <w:sz w:val="28"/>
          <w:szCs w:val="28"/>
          <w:lang w:val="en-US" w:eastAsia="zh-CN"/>
          <w14:textFill>
            <w14:solidFill>
              <w14:schemeClr w14:val="tx1"/>
            </w14:solidFill>
          </w14:textFill>
        </w:rPr>
        <w:t>二</w:t>
      </w:r>
      <w:r>
        <w:rPr>
          <w:rFonts w:hint="eastAsia" w:ascii="黑体" w:hAnsi="黑体" w:eastAsia="黑体"/>
          <w:b/>
          <w:bCs/>
          <w:color w:val="000000" w:themeColor="text1"/>
          <w:sz w:val="28"/>
          <w:szCs w:val="28"/>
          <w14:textFill>
            <w14:solidFill>
              <w14:schemeClr w14:val="tx1"/>
            </w14:solidFill>
          </w14:textFill>
        </w:rPr>
        <w:t>、</w:t>
      </w:r>
      <w:r>
        <w:rPr>
          <w:rFonts w:hint="eastAsia" w:ascii="黑体" w:hAnsi="黑体" w:eastAsia="黑体"/>
          <w:b/>
          <w:bCs/>
          <w:color w:val="000000" w:themeColor="text1"/>
          <w:sz w:val="28"/>
          <w:szCs w:val="28"/>
          <w:lang w:val="en-US" w:eastAsia="zh-CN"/>
          <w14:textFill>
            <w14:solidFill>
              <w14:schemeClr w14:val="tx1"/>
            </w14:solidFill>
          </w14:textFill>
        </w:rPr>
        <w:t>评估概况</w:t>
      </w:r>
      <w:bookmarkEnd w:id="4"/>
      <w:bookmarkEnd w:id="5"/>
    </w:p>
    <w:p w14:paraId="2BA92B83">
      <w:pPr>
        <w:spacing w:line="360" w:lineRule="auto"/>
        <w:ind w:firstLine="560" w:firstLineChars="200"/>
        <w:outlineLvl w:val="1"/>
        <w:rPr>
          <w:rFonts w:hint="eastAsia" w:ascii="黑体" w:hAnsi="黑体" w:eastAsia="黑体" w:cs="黑体"/>
          <w:sz w:val="28"/>
          <w:szCs w:val="28"/>
          <w:lang w:val="en-US" w:eastAsia="zh-CN"/>
        </w:rPr>
      </w:pPr>
      <w:bookmarkStart w:id="6" w:name="_Toc14199"/>
      <w:bookmarkStart w:id="7" w:name="_Toc22307"/>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一</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评估目的</w:t>
      </w:r>
      <w:bookmarkEnd w:id="6"/>
      <w:bookmarkEnd w:id="7"/>
    </w:p>
    <w:p w14:paraId="29187B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开展重大决策风险评估，对于促进科学决策、民主决策、依法决策，预防和化解社会矛盾，促进城乡高质量发展具有重要意义。</w:t>
      </w:r>
    </w:p>
    <w:p w14:paraId="6B111D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2018年6月25日，国务院印发的《国务院工作规则》明确要求，“把公众参与、专家论证、风险评估、合法性审查和集体讨论决定作为重大决策的法定程序，增强公共政策制定透明度和公众参与度”。2019年1月21日，习近平总书记在省部级主要领导干部坚持底线思维着力防范化解重大风险专题研讨班开班式上强调：“防范化解重大风险，是各级党委、政府和领导干部的政治职责，大家要坚持守土有责、守土尽责，把防范化解重大风险工作做实做细做好。”习近平总书记的重要讲话，深刻阐释了防范化解重大风险的重大理论和实践问题，彰显了深沉的忧患意识和强烈的历史担当，对我们防范化解重大风险，保持经济持续健康发展和社会大局稳定，具有重大现实意义和长远指导意义。</w:t>
      </w:r>
    </w:p>
    <w:p w14:paraId="5AF057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为贯彻《重大行政决策程序暂行条例》（国务院令第713号）、《新疆维吾尔自治区重大行政决策程序规定》等文件精神，切实从源头上规避、预防和消除重大行政决策实施中可能出现的不利影响，规范政策决策的合理性，保障科学民主决策，更好地确保重大行政决策的顺利实施，对《规划》的实施进行科学、系统的分析，对可能引发的风险进行预测、研判，提出防范措施。</w:t>
      </w:r>
    </w:p>
    <w:p w14:paraId="5D06A736">
      <w:pPr>
        <w:spacing w:line="360" w:lineRule="auto"/>
        <w:ind w:firstLine="560" w:firstLineChars="200"/>
        <w:outlineLvl w:val="1"/>
        <w:rPr>
          <w:rFonts w:hint="eastAsia" w:ascii="黑体" w:hAnsi="黑体" w:eastAsia="黑体" w:cs="黑体"/>
          <w:sz w:val="28"/>
          <w:szCs w:val="28"/>
          <w:lang w:eastAsia="zh-CN"/>
        </w:rPr>
      </w:pPr>
      <w:bookmarkStart w:id="8" w:name="_Toc246"/>
      <w:bookmarkStart w:id="9" w:name="_Toc28713"/>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二</w:t>
      </w:r>
      <w:r>
        <w:rPr>
          <w:rFonts w:hint="eastAsia" w:ascii="黑体" w:hAnsi="黑体" w:eastAsia="黑体" w:cs="黑体"/>
          <w:sz w:val="28"/>
          <w:szCs w:val="28"/>
          <w:lang w:eastAsia="zh-CN"/>
        </w:rPr>
        <w:t>）评估依据</w:t>
      </w:r>
      <w:bookmarkEnd w:id="8"/>
      <w:bookmarkEnd w:id="9"/>
      <w:r>
        <w:rPr>
          <w:rFonts w:hint="eastAsia" w:ascii="黑体" w:hAnsi="黑体" w:eastAsia="黑体" w:cs="黑体"/>
          <w:sz w:val="28"/>
          <w:szCs w:val="28"/>
          <w:lang w:eastAsia="zh-CN"/>
        </w:rPr>
        <w:t xml:space="preserve"> </w:t>
      </w:r>
    </w:p>
    <w:p w14:paraId="5ED6D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编制《规划》所涉及的法律法规与政策标准、相关规划与基础资料等规划依据，仍是本次风险评估的主要依据。除此之外，风险评估依据涉及以下文件：</w:t>
      </w:r>
    </w:p>
    <w:p w14:paraId="1A730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1、《中华人民共和国行政许可法》（2019年修正）；</w:t>
      </w:r>
    </w:p>
    <w:p w14:paraId="177331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2、中共中央办公厅 国务院办公厅《关于建立健全重大决策社会稳定风险评估机制的指导意见（试行）》（中办发〔2012〕2号）；</w:t>
      </w:r>
    </w:p>
    <w:p w14:paraId="56EB7C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3、中共中央《关于全面推进依法治国若干重大问题的决定》（2014）；</w:t>
      </w:r>
    </w:p>
    <w:p w14:paraId="5B6FA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4、中共中央 国务院《关于加快推进生态文明建设的意见》（2015）；</w:t>
      </w:r>
    </w:p>
    <w:p w14:paraId="551080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5、《中共中央关于进一步全面深化改革、推进中国式现代化的决定》（2024）；</w:t>
      </w:r>
    </w:p>
    <w:p w14:paraId="6EB323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6、《重大行政决策程序暂行条例》（2019）；</w:t>
      </w:r>
    </w:p>
    <w:p w14:paraId="2C2844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7、《新疆维吾尔自治区重大行政决策程序规定》（2022）； </w:t>
      </w:r>
    </w:p>
    <w:p w14:paraId="6AD813CD">
      <w:pPr>
        <w:spacing w:line="360" w:lineRule="auto"/>
        <w:ind w:firstLine="560" w:firstLineChars="200"/>
        <w:outlineLvl w:val="1"/>
        <w:rPr>
          <w:rFonts w:hint="eastAsia" w:ascii="黑体" w:hAnsi="黑体" w:eastAsia="黑体" w:cs="黑体"/>
          <w:sz w:val="28"/>
          <w:szCs w:val="28"/>
          <w:lang w:val="en-US" w:eastAsia="zh-CN"/>
        </w:rPr>
      </w:pPr>
      <w:bookmarkStart w:id="10" w:name="_Toc22930"/>
      <w:bookmarkStart w:id="11" w:name="_Toc1667"/>
      <w:r>
        <w:rPr>
          <w:rFonts w:hint="eastAsia" w:ascii="黑体" w:hAnsi="黑体" w:eastAsia="黑体" w:cs="黑体"/>
          <w:sz w:val="28"/>
          <w:szCs w:val="28"/>
          <w:lang w:val="en-US" w:eastAsia="zh-CN"/>
        </w:rPr>
        <w:t>（三）评估原则</w:t>
      </w:r>
      <w:bookmarkEnd w:id="10"/>
      <w:bookmarkEnd w:id="11"/>
      <w:r>
        <w:rPr>
          <w:rFonts w:hint="eastAsia" w:ascii="黑体" w:hAnsi="黑体" w:eastAsia="黑体" w:cs="黑体"/>
          <w:sz w:val="28"/>
          <w:szCs w:val="28"/>
          <w:lang w:val="en-US" w:eastAsia="zh-CN"/>
        </w:rPr>
        <w:t xml:space="preserve"> </w:t>
      </w:r>
    </w:p>
    <w:p w14:paraId="53D3DA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12" w:name="_Toc26276"/>
      <w:r>
        <w:rPr>
          <w:rFonts w:hint="eastAsia" w:ascii="仿宋_GB2312" w:eastAsia="仿宋_GB2312"/>
          <w:b/>
          <w:bCs/>
          <w:sz w:val="32"/>
          <w:szCs w:val="32"/>
          <w:lang w:val="en-US" w:eastAsia="zh-CN"/>
        </w:rPr>
        <w:t>1、依法依规</w:t>
      </w:r>
      <w:bookmarkEnd w:id="12"/>
    </w:p>
    <w:p w14:paraId="46D575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依据法律法规和政策规定开展重大决策风险评估工作，切实维护群众合法权益。评估工作涉及国家秘密的，应遵守《中华人民共和国保守国家秘密法》其实施条例等规定。</w:t>
      </w:r>
    </w:p>
    <w:p w14:paraId="244F59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13" w:name="_Toc18020"/>
      <w:r>
        <w:rPr>
          <w:rFonts w:hint="eastAsia" w:ascii="仿宋_GB2312" w:eastAsia="仿宋_GB2312"/>
          <w:b/>
          <w:bCs/>
          <w:sz w:val="32"/>
          <w:szCs w:val="32"/>
          <w:lang w:val="en-US" w:eastAsia="zh-CN"/>
        </w:rPr>
        <w:t>2、科学准确</w:t>
      </w:r>
      <w:bookmarkEnd w:id="13"/>
    </w:p>
    <w:p w14:paraId="0772D8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充分发扬民主，全面分析论证，准确把握社情民意、职能部门意见，客观公正地作出评估结论，科学运用评估结果。</w:t>
      </w:r>
    </w:p>
    <w:p w14:paraId="7322D8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14" w:name="_Toc10665"/>
      <w:r>
        <w:rPr>
          <w:rFonts w:hint="eastAsia" w:ascii="仿宋_GB2312" w:eastAsia="仿宋_GB2312"/>
          <w:b/>
          <w:bCs/>
          <w:sz w:val="32"/>
          <w:szCs w:val="32"/>
          <w:lang w:val="en-US" w:eastAsia="zh-CN"/>
        </w:rPr>
        <w:t>3、突出重点</w:t>
      </w:r>
      <w:bookmarkEnd w:id="14"/>
    </w:p>
    <w:p w14:paraId="115DAE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以经济发展、社会稳定、环境影响等可能造成不利影响的重大决策为重点，将评估工作作为防范化解风险的重要措施，坚持查防并重，既注重查找风险隐患，又重视同步化解矛盾。</w:t>
      </w:r>
    </w:p>
    <w:p w14:paraId="76B975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15" w:name="_Toc12159"/>
      <w:r>
        <w:rPr>
          <w:rFonts w:hint="eastAsia" w:ascii="仿宋_GB2312" w:eastAsia="仿宋_GB2312"/>
          <w:b/>
          <w:bCs/>
          <w:sz w:val="32"/>
          <w:szCs w:val="32"/>
          <w:lang w:val="en-US" w:eastAsia="zh-CN"/>
        </w:rPr>
        <w:t>4、兼顾效率</w:t>
      </w:r>
      <w:bookmarkEnd w:id="15"/>
    </w:p>
    <w:p w14:paraId="366785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统筹考虑维护社会稳定和经济发展需要，既要最大限度减少和防范重大决策可能引发的社会风险，又要为重大决策顺利实施创造有利条件。 </w:t>
      </w:r>
    </w:p>
    <w:p w14:paraId="65034D2D">
      <w:pPr>
        <w:spacing w:line="360" w:lineRule="auto"/>
        <w:ind w:firstLine="560" w:firstLineChars="200"/>
        <w:outlineLvl w:val="1"/>
        <w:rPr>
          <w:rFonts w:hint="default" w:ascii="黑体" w:hAnsi="黑体" w:eastAsia="黑体" w:cs="黑体"/>
          <w:sz w:val="28"/>
          <w:szCs w:val="28"/>
          <w:lang w:val="en-US" w:eastAsia="zh-CN"/>
        </w:rPr>
      </w:pPr>
      <w:bookmarkStart w:id="16" w:name="_Toc19618"/>
      <w:bookmarkStart w:id="17" w:name="_Toc10624"/>
      <w:r>
        <w:rPr>
          <w:rFonts w:hint="eastAsia" w:ascii="黑体" w:hAnsi="黑体" w:eastAsia="黑体" w:cs="黑体"/>
          <w:sz w:val="28"/>
          <w:szCs w:val="28"/>
          <w:lang w:val="en-US" w:eastAsia="zh-CN"/>
        </w:rPr>
        <w:t>（四）评估内容</w:t>
      </w:r>
      <w:bookmarkEnd w:id="16"/>
      <w:bookmarkEnd w:id="17"/>
    </w:p>
    <w:p w14:paraId="41E3D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根据《新疆维吾尔自治区重大行政决策程序规定》，结合本规划实际，重点围绕重大行政决策事项的下列风险进行评估。</w:t>
      </w:r>
    </w:p>
    <w:p w14:paraId="59FC59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18" w:name="_Toc2463"/>
      <w:r>
        <w:rPr>
          <w:rFonts w:hint="eastAsia" w:ascii="仿宋_GB2312" w:eastAsia="仿宋_GB2312"/>
          <w:b/>
          <w:bCs/>
          <w:sz w:val="32"/>
          <w:szCs w:val="32"/>
          <w:lang w:val="en-US" w:eastAsia="zh-CN"/>
        </w:rPr>
        <w:t>1、合法性方面</w:t>
      </w:r>
      <w:bookmarkEnd w:id="18"/>
    </w:p>
    <w:p w14:paraId="56E190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开展国土空间规划的必要性，与国家、自治区、和田地区相关决策部署的相符性；项目决策部门是否有相应的项目审批权并在权限范围内进行审批，是否按要求取得相关前置审批文件等。</w:t>
      </w:r>
    </w:p>
    <w:p w14:paraId="513A4C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19" w:name="_Toc27851"/>
      <w:r>
        <w:rPr>
          <w:rFonts w:hint="eastAsia" w:ascii="仿宋_GB2312" w:eastAsia="仿宋_GB2312"/>
          <w:b/>
          <w:bCs/>
          <w:sz w:val="32"/>
          <w:szCs w:val="32"/>
          <w:lang w:val="en-US" w:eastAsia="zh-CN"/>
        </w:rPr>
        <w:t>2、合理性方面</w:t>
      </w:r>
      <w:bookmarkEnd w:id="19"/>
    </w:p>
    <w:p w14:paraId="0DB1CB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是否符合大多数群众的利益，坚持以人民为中心，优化国土空间功能和布局，实现高质量发展；是否制定涵盖各相关部门的协作机制，研究规划重大问题，共同推进规划编制工作。</w:t>
      </w:r>
    </w:p>
    <w:p w14:paraId="115701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20" w:name="_Toc12001"/>
      <w:r>
        <w:rPr>
          <w:rFonts w:hint="eastAsia" w:ascii="仿宋_GB2312" w:eastAsia="仿宋_GB2312"/>
          <w:b/>
          <w:bCs/>
          <w:sz w:val="32"/>
          <w:szCs w:val="32"/>
          <w:lang w:val="en-US" w:eastAsia="zh-CN"/>
        </w:rPr>
        <w:t>3、可行性方面</w:t>
      </w:r>
      <w:bookmarkEnd w:id="20"/>
    </w:p>
    <w:p w14:paraId="3C8911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是否本着因地制宜、多方参与的原则开展规划编制。</w:t>
      </w:r>
    </w:p>
    <w:p w14:paraId="7D7B21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21" w:name="_Toc836"/>
      <w:r>
        <w:rPr>
          <w:rFonts w:hint="eastAsia" w:ascii="仿宋_GB2312" w:eastAsia="仿宋_GB2312"/>
          <w:b/>
          <w:bCs/>
          <w:sz w:val="32"/>
          <w:szCs w:val="32"/>
          <w:lang w:val="en-US" w:eastAsia="zh-CN"/>
        </w:rPr>
        <w:t>4、可控性方面</w:t>
      </w:r>
      <w:bookmarkEnd w:id="21"/>
    </w:p>
    <w:p w14:paraId="1D9132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是否建立规划实施保障评估制度；规划成果是否规范有效。</w:t>
      </w:r>
    </w:p>
    <w:p w14:paraId="6D90B9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22" w:name="_Toc24023"/>
      <w:r>
        <w:rPr>
          <w:rFonts w:hint="eastAsia" w:ascii="仿宋_GB2312" w:eastAsia="仿宋_GB2312"/>
          <w:b/>
          <w:bCs/>
          <w:sz w:val="32"/>
          <w:szCs w:val="32"/>
          <w:lang w:val="en-US" w:eastAsia="zh-CN"/>
        </w:rPr>
        <w:t>5、社会稳定风险</w:t>
      </w:r>
      <w:bookmarkEnd w:id="22"/>
    </w:p>
    <w:p w14:paraId="4732C0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包括可能引发社会矛盾纠纷、群体性事件或者其他社会安全事件的情形。</w:t>
      </w:r>
    </w:p>
    <w:p w14:paraId="1ED91D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23" w:name="_Toc4054"/>
      <w:r>
        <w:rPr>
          <w:rFonts w:hint="eastAsia" w:ascii="仿宋_GB2312" w:eastAsia="仿宋_GB2312"/>
          <w:b/>
          <w:bCs/>
          <w:sz w:val="32"/>
          <w:szCs w:val="32"/>
          <w:lang w:val="en-US" w:eastAsia="zh-CN"/>
        </w:rPr>
        <w:t>6、公共安全风险</w:t>
      </w:r>
      <w:bookmarkEnd w:id="23"/>
    </w:p>
    <w:p w14:paraId="51E69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包括可能造成人身伤害、财产损害或者其他危害公共安全的情形。</w:t>
      </w:r>
    </w:p>
    <w:p w14:paraId="03824B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24" w:name="_Toc6628"/>
      <w:r>
        <w:rPr>
          <w:rFonts w:hint="eastAsia" w:ascii="仿宋_GB2312" w:eastAsia="仿宋_GB2312"/>
          <w:b/>
          <w:bCs/>
          <w:sz w:val="32"/>
          <w:szCs w:val="32"/>
          <w:lang w:val="en-US" w:eastAsia="zh-CN"/>
        </w:rPr>
        <w:t>7、生态环境风险</w:t>
      </w:r>
      <w:bookmarkEnd w:id="24"/>
    </w:p>
    <w:p w14:paraId="49343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包括可能造成重大环境污染、生态环境破坏或者次生自然灾害等不良影响的情形。</w:t>
      </w:r>
    </w:p>
    <w:p w14:paraId="1286D3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25" w:name="_Toc11277"/>
      <w:r>
        <w:rPr>
          <w:rFonts w:hint="eastAsia" w:ascii="仿宋_GB2312" w:eastAsia="仿宋_GB2312"/>
          <w:b/>
          <w:bCs/>
          <w:sz w:val="32"/>
          <w:szCs w:val="32"/>
          <w:lang w:val="en-US" w:eastAsia="zh-CN"/>
        </w:rPr>
        <w:t>8、财政金融风险</w:t>
      </w:r>
      <w:bookmarkEnd w:id="25"/>
    </w:p>
    <w:p w14:paraId="4B2C1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包括可能造成大额财政资金流失、带来重大政府性债务、导致区域性或者系统性金融风险隐患的情形。</w:t>
      </w:r>
    </w:p>
    <w:p w14:paraId="558422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26" w:name="_Toc29510"/>
      <w:r>
        <w:rPr>
          <w:rFonts w:hint="eastAsia" w:ascii="仿宋_GB2312" w:eastAsia="仿宋_GB2312"/>
          <w:b/>
          <w:bCs/>
          <w:sz w:val="32"/>
          <w:szCs w:val="32"/>
          <w:lang w:val="en-US" w:eastAsia="zh-CN"/>
        </w:rPr>
        <w:t>9、舆情风险</w:t>
      </w:r>
      <w:bookmarkEnd w:id="26"/>
    </w:p>
    <w:p w14:paraId="6A6176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包括可能产生大范围的严重负面评价的情形。</w:t>
      </w:r>
    </w:p>
    <w:p w14:paraId="1DF30738">
      <w:pPr>
        <w:spacing w:line="360" w:lineRule="auto"/>
        <w:ind w:firstLine="560" w:firstLineChars="200"/>
        <w:outlineLvl w:val="1"/>
        <w:rPr>
          <w:rFonts w:hint="default" w:ascii="黑体" w:hAnsi="黑体" w:eastAsia="黑体" w:cs="黑体"/>
          <w:sz w:val="28"/>
          <w:szCs w:val="28"/>
          <w:lang w:val="en-US" w:eastAsia="zh-CN"/>
        </w:rPr>
      </w:pPr>
      <w:bookmarkStart w:id="27" w:name="_Toc14446"/>
      <w:bookmarkStart w:id="28" w:name="_Toc26680"/>
      <w:r>
        <w:rPr>
          <w:rFonts w:hint="eastAsia" w:ascii="黑体" w:hAnsi="黑体" w:eastAsia="黑体" w:cs="黑体"/>
          <w:sz w:val="28"/>
          <w:szCs w:val="28"/>
          <w:lang w:val="en-US" w:eastAsia="zh-CN"/>
        </w:rPr>
        <w:t>（五）评估方法</w:t>
      </w:r>
      <w:bookmarkEnd w:id="27"/>
      <w:bookmarkEnd w:id="28"/>
    </w:p>
    <w:p w14:paraId="5BFA57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1、文献研究：</w:t>
      </w:r>
      <w:r>
        <w:rPr>
          <w:rFonts w:hint="eastAsia" w:ascii="仿宋_GB2312" w:eastAsia="仿宋_GB2312"/>
          <w:sz w:val="32"/>
          <w:szCs w:val="32"/>
          <w:lang w:val="en-US" w:eastAsia="zh-CN"/>
        </w:rPr>
        <w:t>研究相关政策法规、技术规范，研究编制技术要求。</w:t>
      </w:r>
    </w:p>
    <w:p w14:paraId="0C31A46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2、民意调查：</w:t>
      </w:r>
      <w:r>
        <w:rPr>
          <w:rFonts w:hint="eastAsia" w:ascii="仿宋_GB2312" w:eastAsia="仿宋_GB2312"/>
          <w:sz w:val="32"/>
          <w:szCs w:val="32"/>
          <w:lang w:val="en-US" w:eastAsia="zh-CN"/>
        </w:rPr>
        <w:t>线上面向社会开展征求意见工作，了解广大群众意见，确保收集意见的真实性和全面性。</w:t>
      </w:r>
    </w:p>
    <w:p w14:paraId="5A880D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3、相关部门意见征询：</w:t>
      </w:r>
      <w:r>
        <w:rPr>
          <w:rFonts w:hint="eastAsia" w:ascii="仿宋_GB2312" w:eastAsia="仿宋_GB2312"/>
          <w:sz w:val="32"/>
          <w:szCs w:val="32"/>
          <w:lang w:val="en-US" w:eastAsia="zh-CN"/>
        </w:rPr>
        <w:t>征求各相关职能部门的意见。</w:t>
      </w:r>
    </w:p>
    <w:p w14:paraId="7267E8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4、舆情监控：</w:t>
      </w:r>
      <w:r>
        <w:rPr>
          <w:rFonts w:hint="eastAsia" w:ascii="仿宋_GB2312" w:eastAsia="仿宋_GB2312"/>
          <w:sz w:val="32"/>
          <w:szCs w:val="32"/>
          <w:lang w:val="en-US" w:eastAsia="zh-CN"/>
        </w:rPr>
        <w:t xml:space="preserve">监控草案公示后网络舆情走势及正负面观点。 </w:t>
      </w:r>
    </w:p>
    <w:p w14:paraId="0B8E47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5、专家咨询：</w:t>
      </w:r>
      <w:r>
        <w:rPr>
          <w:rFonts w:hint="eastAsia" w:ascii="仿宋_GB2312" w:eastAsia="仿宋_GB2312"/>
          <w:sz w:val="32"/>
          <w:szCs w:val="32"/>
          <w:lang w:val="en-US" w:eastAsia="zh-CN"/>
        </w:rPr>
        <w:t>举办专家咨询，邀请不同领域专家技术把关。</w:t>
      </w:r>
      <w:r>
        <w:rPr>
          <w:rFonts w:ascii="宋体" w:hAnsi="宋体" w:eastAsia="宋体" w:cs="宋体"/>
          <w:sz w:val="28"/>
          <w:szCs w:val="28"/>
        </w:rPr>
        <w:t xml:space="preserve"> </w:t>
      </w:r>
    </w:p>
    <w:p w14:paraId="318C229F">
      <w:pPr>
        <w:pStyle w:val="2"/>
        <w:spacing w:before="0" w:after="0"/>
        <w:rPr>
          <w:rFonts w:hint="default" w:ascii="黑体" w:hAnsi="黑体" w:eastAsia="黑体"/>
          <w:b/>
          <w:bCs/>
          <w:color w:val="000000" w:themeColor="text1"/>
          <w:sz w:val="28"/>
          <w:szCs w:val="28"/>
          <w:lang w:val="en-US" w:eastAsia="zh-CN"/>
          <w14:textFill>
            <w14:solidFill>
              <w14:schemeClr w14:val="tx1"/>
            </w14:solidFill>
          </w14:textFill>
        </w:rPr>
      </w:pPr>
      <w:bookmarkStart w:id="29" w:name="_Toc13530"/>
      <w:bookmarkStart w:id="30" w:name="_Toc7340"/>
      <w:r>
        <w:rPr>
          <w:rFonts w:hint="eastAsia" w:ascii="黑体" w:hAnsi="黑体" w:eastAsia="黑体"/>
          <w:b/>
          <w:bCs/>
          <w:color w:val="000000" w:themeColor="text1"/>
          <w:sz w:val="28"/>
          <w:szCs w:val="28"/>
          <w14:textFill>
            <w14:solidFill>
              <w14:schemeClr w14:val="tx1"/>
            </w14:solidFill>
          </w14:textFill>
        </w:rPr>
        <w:t>三、</w:t>
      </w:r>
      <w:r>
        <w:rPr>
          <w:rFonts w:hint="eastAsia" w:ascii="黑体" w:hAnsi="黑体" w:eastAsia="黑体"/>
          <w:b/>
          <w:bCs/>
          <w:color w:val="000000" w:themeColor="text1"/>
          <w:sz w:val="28"/>
          <w:szCs w:val="28"/>
          <w:lang w:val="en-US" w:eastAsia="zh-CN"/>
          <w14:textFill>
            <w14:solidFill>
              <w14:schemeClr w14:val="tx1"/>
            </w14:solidFill>
          </w14:textFill>
        </w:rPr>
        <w:t>风险分析与评估</w:t>
      </w:r>
      <w:bookmarkEnd w:id="29"/>
      <w:bookmarkEnd w:id="30"/>
    </w:p>
    <w:p w14:paraId="09DC5651">
      <w:pPr>
        <w:spacing w:line="360" w:lineRule="auto"/>
        <w:ind w:firstLine="560" w:firstLineChars="200"/>
        <w:outlineLvl w:val="1"/>
        <w:rPr>
          <w:rFonts w:hint="default" w:ascii="黑体" w:hAnsi="黑体" w:eastAsia="黑体" w:cs="黑体"/>
          <w:sz w:val="28"/>
          <w:szCs w:val="28"/>
          <w:lang w:val="en-US" w:eastAsia="zh-CN"/>
        </w:rPr>
      </w:pPr>
      <w:bookmarkStart w:id="31" w:name="_Toc2111"/>
      <w:bookmarkStart w:id="32" w:name="_Toc14260"/>
      <w:r>
        <w:rPr>
          <w:rFonts w:hint="eastAsia" w:ascii="黑体" w:hAnsi="黑体" w:eastAsia="黑体" w:cs="黑体"/>
          <w:sz w:val="28"/>
          <w:szCs w:val="28"/>
          <w:lang w:val="en-US" w:eastAsia="zh-CN"/>
        </w:rPr>
        <w:t>（一）风险因素识别</w:t>
      </w:r>
      <w:bookmarkEnd w:id="31"/>
      <w:bookmarkEnd w:id="32"/>
    </w:p>
    <w:p w14:paraId="0C8DE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w:t>
      </w:r>
      <w:r>
        <w:rPr>
          <w:rFonts w:hint="default" w:ascii="仿宋_GB2312" w:eastAsia="仿宋_GB2312"/>
          <w:sz w:val="32"/>
          <w:szCs w:val="32"/>
          <w:lang w:val="en-US" w:eastAsia="zh-CN"/>
        </w:rPr>
        <w:t>《</w:t>
      </w:r>
      <w:r>
        <w:rPr>
          <w:rFonts w:hint="eastAsia" w:ascii="仿宋_GB2312" w:eastAsia="仿宋_GB2312"/>
          <w:sz w:val="32"/>
          <w:szCs w:val="32"/>
          <w:lang w:val="en-US" w:eastAsia="zh-CN"/>
        </w:rPr>
        <w:t>新疆维吾尔自治区重大行政决策程序规定</w:t>
      </w:r>
      <w:r>
        <w:rPr>
          <w:rFonts w:hint="default" w:ascii="仿宋_GB2312" w:eastAsia="仿宋_GB2312"/>
          <w:sz w:val="32"/>
          <w:szCs w:val="32"/>
          <w:lang w:val="en-US" w:eastAsia="zh-CN"/>
        </w:rPr>
        <w:t>》，从合法性、合理性、可行性、可控性、社会稳定风险、公共安全风险、生态环境风险、财政金融风险</w:t>
      </w:r>
      <w:r>
        <w:rPr>
          <w:rFonts w:hint="eastAsia" w:ascii="仿宋_GB2312" w:eastAsia="仿宋_GB2312"/>
          <w:sz w:val="32"/>
          <w:szCs w:val="32"/>
          <w:lang w:val="en-US" w:eastAsia="zh-CN"/>
        </w:rPr>
        <w:t>，</w:t>
      </w:r>
      <w:r>
        <w:rPr>
          <w:rFonts w:hint="default" w:ascii="仿宋_GB2312" w:eastAsia="仿宋_GB2312"/>
          <w:sz w:val="32"/>
          <w:szCs w:val="32"/>
          <w:lang w:val="en-US" w:eastAsia="zh-CN"/>
        </w:rPr>
        <w:t>舆情风险等九个方面制定</w:t>
      </w:r>
      <w:r>
        <w:rPr>
          <w:rFonts w:hint="eastAsia" w:ascii="仿宋_GB2312" w:eastAsia="仿宋_GB2312"/>
          <w:sz w:val="32"/>
          <w:szCs w:val="32"/>
          <w:lang w:val="en-US" w:eastAsia="zh-CN"/>
        </w:rPr>
        <w:t>风</w:t>
      </w:r>
      <w:r>
        <w:rPr>
          <w:rFonts w:hint="default" w:ascii="仿宋_GB2312" w:eastAsia="仿宋_GB2312"/>
          <w:sz w:val="32"/>
          <w:szCs w:val="32"/>
          <w:lang w:val="en-US" w:eastAsia="zh-CN"/>
        </w:rPr>
        <w:t>险指标体系，共涉及17项具体风险因素</w:t>
      </w:r>
      <w:r>
        <w:rPr>
          <w:rFonts w:hint="eastAsia" w:ascii="仿宋_GB2312" w:eastAsia="仿宋_GB2312"/>
          <w:sz w:val="32"/>
          <w:szCs w:val="32"/>
          <w:lang w:val="en-US" w:eastAsia="zh-CN"/>
        </w:rPr>
        <w:t>。</w:t>
      </w:r>
    </w:p>
    <w:p w14:paraId="3E778EB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主要风险因素识别表</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0"/>
        <w:gridCol w:w="696"/>
        <w:gridCol w:w="2136"/>
        <w:gridCol w:w="4537"/>
      </w:tblGrid>
      <w:tr w14:paraId="3FE4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820"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6890FD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风险类型</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27994F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56A32D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风险因素</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C9CD6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具体说明</w:t>
            </w:r>
          </w:p>
        </w:tc>
      </w:tr>
      <w:tr w14:paraId="12FC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20"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14:paraId="03B15B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合法性方面</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79F4EA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DBEEE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相关法律体系</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2EB9BC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开展国土空间规划的必要性，与国家、自治区、和田地区相关决策部署的相符性。</w:t>
            </w:r>
          </w:p>
        </w:tc>
      </w:tr>
      <w:tr w14:paraId="26DB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354E0982">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516BED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7F395F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决策权限审批程序</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64428D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项目决策部门是否有相应的项目审批权并在权限范围内进行审批，是否按要求取得相关前置审批文件。</w:t>
            </w:r>
          </w:p>
        </w:tc>
      </w:tr>
      <w:tr w14:paraId="2AD9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7040AC0B">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186944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175597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底线约束绿色发展</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C584C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力与国土空间开发适宜性评价的基础上，优先划定不能进行开发建设的空间范围，严格落实上级规划的管控性要求和约束性指标，严守生态安全、国土安全、粮食安全和历史文化保护线，推动形成绿色发展方式和生活方式。</w:t>
            </w:r>
          </w:p>
        </w:tc>
      </w:tr>
      <w:tr w14:paraId="499B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820"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14:paraId="0830D1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合理性方面</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745F07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7B7199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人民为中心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高质量发展</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F2813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符合大多数群众的利益，坚持以人民为中心，优化国土空间功能和布局，统筹生产、生活、生态空间，增加开敞空间和公共活动空间，改善人居环境，实现高质量发展、高品质生活。把群众满意度作为衡量规划水平的标准。</w:t>
            </w:r>
          </w:p>
        </w:tc>
      </w:tr>
      <w:tr w14:paraId="7BDB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7BC5774B">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715547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096819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同步推进统筹协同</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67D1F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是否制定涵盖各相关部门的协作机制，研究规划重大问题，共同推进规划编制工作。乡镇国土空间总体规划编制是否同步推进，自上而下、上下联动；是否落实生态保护红线、永久基本农田、城镇开发边界。</w:t>
            </w:r>
          </w:p>
        </w:tc>
      </w:tr>
      <w:tr w14:paraId="3F37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5126E0CB">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D62CE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0B57AE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因地制宜分类指导</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753111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决策事项是否与本地经济社会发展水平相适应，规划编制是否尊重规律，前瞻谋划，科学分析，根据自然禀赋、人文特色、城乡发展阶段特征和需求，有针对性地开展规划编制工作。</w:t>
            </w:r>
          </w:p>
        </w:tc>
      </w:tr>
      <w:tr w14:paraId="615E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20"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14:paraId="637BDB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可行性方面</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1B1162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58"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14:paraId="27655D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多方参与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科学决策</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63889A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按照“政府组织、专家领衔、部门合作、公众参与、科学决策”的工作组织方式要求，对规划重大问题进行协商决策。</w:t>
            </w:r>
          </w:p>
        </w:tc>
      </w:tr>
      <w:tr w14:paraId="0D2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14849644">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7BE26A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58"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0234A027">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F35F7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是否组建具备相应资质及专业能力技术团队：注重专业化与综合性相结合，选择不同领域专业背景的技术人员，组建规划编制技术团队，承担规划编制技术工作。</w:t>
            </w:r>
          </w:p>
        </w:tc>
      </w:tr>
      <w:tr w14:paraId="3D2F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208A2FF0">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15988C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58"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04AF6345">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51E8C1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是否建立公众参与机制，建立健全多方协商机制，扩大公众和社会各界参与程度，确保规划方案形成过程中以多种方式广纳民意、集中民智、凝聚共识。</w:t>
            </w:r>
          </w:p>
        </w:tc>
      </w:tr>
      <w:tr w14:paraId="5894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20"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14:paraId="3DA220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可控性方面</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4CFE84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3255F3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规划成果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规范有效</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40B406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是否符合相关规范标准要求的深度，是否通过专家评审。</w:t>
            </w:r>
          </w:p>
        </w:tc>
      </w:tr>
      <w:tr w14:paraId="7543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2D309BA1">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44E8DD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057E8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阳光规划</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408324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是否接受群众的监督，积极采纳社会公众、相关部门的意见。</w:t>
            </w:r>
          </w:p>
        </w:tc>
      </w:tr>
      <w:tr w14:paraId="62B5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20"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14:paraId="2731FB3D">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4"/>
                <w:szCs w:val="24"/>
                <w:u w:val="none"/>
              </w:rPr>
            </w:pP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687862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573649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实施机制切实有效</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31FDF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是否提出规划实施措施和机制，保障国土空间规划体系的实施与完善。</w:t>
            </w:r>
          </w:p>
        </w:tc>
      </w:tr>
      <w:tr w14:paraId="4818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20"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5C455E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社会稳定风险</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234BB5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B855E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38DA4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是否为大多数群众支持，是否会引发社会矛盾、引起群体性事件。</w:t>
            </w:r>
          </w:p>
        </w:tc>
      </w:tr>
      <w:tr w14:paraId="1019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20"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67A0B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公共安全风险</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8D00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2D9C7C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0B4723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可能造成人身伤害、财产损害或者其他危害公共安全的情形。</w:t>
            </w:r>
          </w:p>
        </w:tc>
      </w:tr>
      <w:tr w14:paraId="7E8A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20"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47E43E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生态环境风险</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50DC38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519BEB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5C06C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是否存在生态保护指标制定不合理；生态保护红线区的划定是否切合实际。</w:t>
            </w:r>
          </w:p>
        </w:tc>
      </w:tr>
      <w:tr w14:paraId="4B46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20"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402B66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财政金融风险</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446823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7741F4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4C264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是否会造成政府债务增加、超出政府偿债能力；是否会造成财政支出扩大、收入降低、出现财政赤字。</w:t>
            </w:r>
          </w:p>
        </w:tc>
      </w:tr>
      <w:tr w14:paraId="12B1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20" w:type="pct"/>
            <w:tcBorders>
              <w:top w:val="single" w:color="000000" w:sz="12" w:space="0"/>
              <w:left w:val="single" w:color="000000" w:sz="12" w:space="0"/>
              <w:bottom w:val="single" w:color="000000" w:sz="12" w:space="0"/>
              <w:right w:val="single" w:color="000000" w:sz="12" w:space="0"/>
            </w:tcBorders>
            <w:shd w:val="clear" w:color="auto" w:fill="auto"/>
            <w:vAlign w:val="center"/>
          </w:tcPr>
          <w:p w14:paraId="157B66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舆情风险</w:t>
            </w:r>
          </w:p>
        </w:tc>
        <w:tc>
          <w:tcPr>
            <w:tcW w:w="554"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F487B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358"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7BA1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66" w:type="pct"/>
            <w:tcBorders>
              <w:top w:val="single" w:color="000000" w:sz="12" w:space="0"/>
              <w:left w:val="single" w:color="000000" w:sz="12" w:space="0"/>
              <w:bottom w:val="single" w:color="000000" w:sz="12" w:space="0"/>
              <w:right w:val="single" w:color="000000" w:sz="12" w:space="0"/>
            </w:tcBorders>
            <w:shd w:val="clear" w:color="auto" w:fill="auto"/>
            <w:noWrap/>
            <w:vAlign w:val="center"/>
          </w:tcPr>
          <w:p w14:paraId="33DDFF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可能产生大范围的严重负面评价的情形。</w:t>
            </w:r>
          </w:p>
        </w:tc>
      </w:tr>
    </w:tbl>
    <w:p w14:paraId="091D0236">
      <w:pPr>
        <w:spacing w:line="360" w:lineRule="auto"/>
        <w:ind w:firstLine="560" w:firstLineChars="200"/>
        <w:outlineLvl w:val="1"/>
        <w:rPr>
          <w:rFonts w:hint="default" w:ascii="黑体" w:hAnsi="黑体" w:eastAsia="黑体" w:cs="黑体"/>
          <w:sz w:val="28"/>
          <w:szCs w:val="28"/>
          <w:lang w:val="en-US" w:eastAsia="zh-CN"/>
        </w:rPr>
      </w:pPr>
      <w:bookmarkStart w:id="33" w:name="_Toc8783"/>
      <w:bookmarkStart w:id="34" w:name="_Toc24594"/>
      <w:r>
        <w:rPr>
          <w:rFonts w:hint="eastAsia" w:ascii="黑体" w:hAnsi="黑体" w:eastAsia="黑体" w:cs="黑体"/>
          <w:sz w:val="28"/>
          <w:szCs w:val="28"/>
          <w:lang w:val="en-US" w:eastAsia="zh-CN"/>
        </w:rPr>
        <w:t>（二）文献研究</w:t>
      </w:r>
      <w:bookmarkEnd w:id="33"/>
      <w:bookmarkEnd w:id="34"/>
    </w:p>
    <w:p w14:paraId="6393A4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35" w:name="_Toc3257"/>
      <w:r>
        <w:rPr>
          <w:rFonts w:hint="eastAsia" w:ascii="仿宋_GB2312" w:eastAsia="仿宋_GB2312"/>
          <w:b/>
          <w:bCs/>
          <w:sz w:val="32"/>
          <w:szCs w:val="32"/>
          <w:lang w:val="en-US" w:eastAsia="zh-CN"/>
        </w:rPr>
        <w:t>1、国土空间规划作为生态文明建设的重要抓手</w:t>
      </w:r>
      <w:bookmarkEnd w:id="35"/>
    </w:p>
    <w:p w14:paraId="019EF3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土空间规划是对一定区域国土空间开发保护在空间和时间上作出安排，国土空间规划是各类开发保护建设活动的基本依据。2019年5月23日，中共中央、国务院下发《关于建立国土空间规划体系并监督实施的若干意见》（以下简称《若干意见》），就建立国土空间规划体系并监督实施等系列问题作出部署。全国上下都在推进相关地域内的国土空间规划。党的十八大以来，生态文明建设被提到了前所未有的高度。2015年，中共中央、国务院印发的《生态文明改革总体方案》提出“构建以空间治理和空间结构优化为主要内容，全国统一、相互衔接、分级管理的空间规划体系”；2018年3月，国家机构改革方案出炉，在原有国土资源部的班底上组建自然资源部，统一行使山水林田湖草及土地等自然资源的空间管制职能，将分散在多个部门的空间规划职能都划归到新组建的自然资源部，构建国土空间规划体系；《若干意见》的正式公布，标志着国土空间规划体系的“四梁八柱”基本形成。可以预见，国土空间规划体系将成为推进生态文明建设的重要手段以及国家治理体系和治理能力现代化的必然要求。</w:t>
      </w:r>
    </w:p>
    <w:p w14:paraId="7F67B4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36" w:name="_Toc30427"/>
      <w:r>
        <w:rPr>
          <w:rFonts w:hint="eastAsia" w:ascii="仿宋_GB2312" w:eastAsia="仿宋_GB2312"/>
          <w:b/>
          <w:bCs/>
          <w:sz w:val="32"/>
          <w:szCs w:val="32"/>
          <w:lang w:val="en-US" w:eastAsia="zh-CN"/>
        </w:rPr>
        <w:t>2、“以人为本”国土空间规划创造出最好的人居环境</w:t>
      </w:r>
      <w:bookmarkEnd w:id="36"/>
    </w:p>
    <w:p w14:paraId="1F0128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lang w:val="en-US" w:eastAsia="zh-CN"/>
        </w:rPr>
        <w:t>“以人为本”的国土空间规划是以满足人的理性和物性为指导原则的规划。它的起点在人（人的正常理性、人的共通物性）；终点也在人（人与人之间自存与共存平衡的人居环境）。因此，规划的实践要考虑“人”与“居”的关系。“人”可以是“个人”也可以是“个体”（如家庭、企业、社团等）。规划的作用就是改变“个人”的经济条件、社会地位、教育水平等偶然属性和“个体”（如家庭、企业、社团等）的资本实力、行业地位等偶然属性，“以人为本”的国土空间规划就是以尊重人的尺度，按自存与共存平衡的法则去建设和管理合适的“居”，就是以自存与共存的平衡（满足人的理性）为原则和以人的尺度（满足人的物性）为衡量，去创造个人和整体空间接触的最优化。这其中创造的杠杆就是通过国土空间的使用和分配来实现的。</w:t>
      </w:r>
    </w:p>
    <w:p w14:paraId="72F58B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eastAsia="仿宋_GB2312"/>
          <w:b/>
          <w:bCs/>
          <w:sz w:val="32"/>
          <w:szCs w:val="32"/>
          <w:lang w:val="en-US" w:eastAsia="zh-CN"/>
        </w:rPr>
      </w:pPr>
      <w:bookmarkStart w:id="37" w:name="_Toc713"/>
      <w:r>
        <w:rPr>
          <w:rFonts w:hint="eastAsia" w:ascii="仿宋_GB2312" w:eastAsia="仿宋_GB2312"/>
          <w:b/>
          <w:bCs/>
          <w:sz w:val="32"/>
          <w:szCs w:val="32"/>
          <w:lang w:val="en-US" w:eastAsia="zh-CN"/>
        </w:rPr>
        <w:t>3、国土空间规划体系下部门、地方政府利益博弈待解</w:t>
      </w:r>
      <w:bookmarkEnd w:id="37"/>
    </w:p>
    <w:p w14:paraId="7F31A7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若干意见》的正式出台，标志着我国国土空间规划体系从国家到乡镇，从总体规划到专项规划的“五级三类”规划体系正式形成，但是对于不同层级的各类空间规划的具体内容及编管流程并没有做明确规定，涵盖国家、省、市、县、镇五级的总体规划内容上的差异，传统的控规及专项规划如何应对国土空间规划改革的需求等也成为目前讨论的焦点。 </w:t>
      </w:r>
    </w:p>
    <w:p w14:paraId="0C7164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部门利益博弈下的“多头规划”。政府机构改革后，空间规划在国家机构职权配置上相互割裂、“多头规划”的障碍客观上已经被消除，但现行有效的规划仍然是在现行法律制度框架下建构起来的。在国家层面的法律法规清理、修改、废止及新的立法工作未完成之前，做到规划于法有据，就牵涉到不同部门主导下的规划衔接问题。 </w:t>
      </w:r>
    </w:p>
    <w:p w14:paraId="370AD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方政府不合理竞争背景下的区域规划。规划制定权事关政府事权划分，尤其是在对产业政策的引导、区域内空间要素的配置、自然资源的开发利用、重大基础设施建设等诸多关系的宏观调控方面，地方政府在利益面前难以保持理性和克制，政府间的不合理竞争便随之产生。</w:t>
      </w:r>
    </w:p>
    <w:p w14:paraId="37CB2532">
      <w:pPr>
        <w:spacing w:line="360" w:lineRule="auto"/>
        <w:ind w:firstLine="560" w:firstLineChars="200"/>
        <w:outlineLvl w:val="1"/>
        <w:rPr>
          <w:rFonts w:hint="default" w:ascii="黑体" w:hAnsi="黑体" w:eastAsia="黑体" w:cs="黑体"/>
          <w:sz w:val="28"/>
          <w:szCs w:val="28"/>
          <w:lang w:val="en-US" w:eastAsia="zh-CN"/>
        </w:rPr>
      </w:pPr>
      <w:bookmarkStart w:id="38" w:name="_Toc21153"/>
      <w:bookmarkStart w:id="39" w:name="_Toc27828"/>
      <w:r>
        <w:rPr>
          <w:rFonts w:hint="eastAsia" w:ascii="黑体" w:hAnsi="黑体" w:eastAsia="黑体" w:cs="黑体"/>
          <w:sz w:val="28"/>
          <w:szCs w:val="28"/>
          <w:lang w:val="en-US" w:eastAsia="zh-CN"/>
        </w:rPr>
        <w:t>（三）主要风险因素评估</w:t>
      </w:r>
      <w:bookmarkEnd w:id="38"/>
      <w:bookmarkEnd w:id="39"/>
    </w:p>
    <w:p w14:paraId="3863A8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0" w:name="_Toc32705"/>
      <w:r>
        <w:rPr>
          <w:rFonts w:hint="eastAsia" w:ascii="仿宋_GB2312" w:eastAsia="仿宋_GB2312"/>
          <w:b/>
          <w:bCs/>
          <w:sz w:val="32"/>
          <w:szCs w:val="32"/>
          <w:lang w:val="en-US" w:eastAsia="zh-CN"/>
        </w:rPr>
        <w:t>1</w:t>
      </w:r>
      <w:r>
        <w:rPr>
          <w:rFonts w:hint="default" w:ascii="仿宋_GB2312" w:eastAsia="仿宋_GB2312"/>
          <w:b/>
          <w:bCs/>
          <w:sz w:val="32"/>
          <w:szCs w:val="32"/>
          <w:lang w:val="en-US" w:eastAsia="zh-CN"/>
        </w:rPr>
        <w:t>、合法性评估</w:t>
      </w:r>
      <w:bookmarkEnd w:id="40"/>
    </w:p>
    <w:p w14:paraId="0F2F0C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相关法律体系</w:t>
      </w:r>
    </w:p>
    <w:p w14:paraId="2DB6D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w:t>
      </w:r>
      <w:r>
        <w:rPr>
          <w:rFonts w:hint="default" w:ascii="仿宋_GB2312" w:eastAsia="仿宋_GB2312"/>
          <w:sz w:val="32"/>
          <w:szCs w:val="32"/>
          <w:lang w:val="en-US" w:eastAsia="zh-CN"/>
        </w:rPr>
        <w:t>规划</w:t>
      </w:r>
      <w:r>
        <w:rPr>
          <w:rFonts w:hint="eastAsia" w:ascii="仿宋_GB2312" w:eastAsia="仿宋_GB2312"/>
          <w:sz w:val="32"/>
          <w:szCs w:val="32"/>
          <w:lang w:val="en-US" w:eastAsia="zh-CN"/>
        </w:rPr>
        <w:t>》</w:t>
      </w:r>
      <w:r>
        <w:rPr>
          <w:rFonts w:hint="default" w:ascii="仿宋_GB2312" w:eastAsia="仿宋_GB2312"/>
          <w:sz w:val="32"/>
          <w:szCs w:val="32"/>
          <w:lang w:val="en-US" w:eastAsia="zh-CN"/>
        </w:rPr>
        <w:t>编制</w:t>
      </w:r>
      <w:r>
        <w:rPr>
          <w:rFonts w:hint="eastAsia" w:ascii="仿宋_GB2312" w:eastAsia="仿宋_GB2312"/>
          <w:sz w:val="32"/>
          <w:szCs w:val="32"/>
          <w:lang w:val="en-US" w:eastAsia="zh-CN"/>
        </w:rPr>
        <w:t>的必要性</w:t>
      </w:r>
      <w:r>
        <w:rPr>
          <w:rFonts w:hint="default" w:ascii="仿宋_GB2312" w:eastAsia="仿宋_GB2312"/>
          <w:sz w:val="32"/>
          <w:szCs w:val="32"/>
          <w:lang w:val="en-US" w:eastAsia="zh-CN"/>
        </w:rPr>
        <w:t>。</w:t>
      </w:r>
      <w:r>
        <w:rPr>
          <w:rFonts w:hint="eastAsia" w:ascii="仿宋_GB2312" w:eastAsia="仿宋_GB2312"/>
          <w:sz w:val="32"/>
          <w:szCs w:val="32"/>
          <w:lang w:val="en-US" w:eastAsia="zh-CN"/>
        </w:rPr>
        <w:t>《</w:t>
      </w:r>
      <w:r>
        <w:rPr>
          <w:rFonts w:hint="default" w:ascii="仿宋_GB2312" w:eastAsia="仿宋_GB2312"/>
          <w:sz w:val="32"/>
          <w:szCs w:val="32"/>
          <w:lang w:val="en-US" w:eastAsia="zh-CN"/>
        </w:rPr>
        <w:t>规划</w:t>
      </w:r>
      <w:r>
        <w:rPr>
          <w:rFonts w:hint="eastAsia" w:ascii="仿宋_GB2312" w:eastAsia="仿宋_GB2312"/>
          <w:sz w:val="32"/>
          <w:szCs w:val="32"/>
          <w:lang w:val="en-US" w:eastAsia="zh-CN"/>
        </w:rPr>
        <w:t>》</w:t>
      </w:r>
      <w:r>
        <w:rPr>
          <w:rFonts w:hint="default" w:ascii="仿宋_GB2312" w:eastAsia="仿宋_GB2312"/>
          <w:sz w:val="32"/>
          <w:szCs w:val="32"/>
          <w:lang w:val="en-US" w:eastAsia="zh-CN"/>
        </w:rPr>
        <w:t>是对</w:t>
      </w:r>
      <w:r>
        <w:rPr>
          <w:rFonts w:hint="eastAsia" w:ascii="仿宋_GB2312" w:eastAsia="仿宋_GB2312"/>
          <w:sz w:val="32"/>
          <w:szCs w:val="32"/>
          <w:lang w:val="en-US" w:eastAsia="zh-CN"/>
        </w:rPr>
        <w:t>策勒县达玛沟乡、恰哈乡、奴尔乡</w:t>
      </w:r>
      <w:r>
        <w:rPr>
          <w:rFonts w:hint="default" w:ascii="仿宋_GB2312" w:eastAsia="仿宋_GB2312"/>
          <w:sz w:val="32"/>
          <w:szCs w:val="32"/>
          <w:lang w:val="en-US" w:eastAsia="zh-CN"/>
        </w:rPr>
        <w:t>国土空间开发保护做出的总体安排和综合部署，是指导城乡各类开发建设活动、开展国土空间资源保护利用与修复、制定空间发展政策和实施国土空间规划管理的蓝图，是编制相关专项规划和详细规划的依据。因此编制《</w:t>
      </w:r>
      <w:r>
        <w:rPr>
          <w:rFonts w:hint="eastAsia" w:ascii="仿宋_GB2312" w:eastAsia="仿宋_GB2312"/>
          <w:sz w:val="32"/>
          <w:szCs w:val="32"/>
          <w:lang w:val="en-US" w:eastAsia="zh-CN"/>
        </w:rPr>
        <w:t>规划</w:t>
      </w:r>
      <w:r>
        <w:rPr>
          <w:rFonts w:hint="default" w:ascii="仿宋_GB2312" w:eastAsia="仿宋_GB2312"/>
          <w:sz w:val="32"/>
          <w:szCs w:val="32"/>
          <w:lang w:val="en-US" w:eastAsia="zh-CN"/>
        </w:rPr>
        <w:t>》是有必要的。</w:t>
      </w:r>
    </w:p>
    <w:p w14:paraId="41B44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w:t>
      </w:r>
      <w:r>
        <w:rPr>
          <w:rFonts w:hint="default" w:ascii="仿宋_GB2312" w:eastAsia="仿宋_GB2312"/>
          <w:sz w:val="32"/>
          <w:szCs w:val="32"/>
          <w:lang w:val="en-US" w:eastAsia="zh-CN"/>
        </w:rPr>
        <w:t>规划</w:t>
      </w:r>
      <w:r>
        <w:rPr>
          <w:rFonts w:hint="eastAsia" w:ascii="仿宋_GB2312" w:eastAsia="仿宋_GB2312"/>
          <w:sz w:val="32"/>
          <w:szCs w:val="32"/>
          <w:lang w:val="en-US" w:eastAsia="zh-CN"/>
        </w:rPr>
        <w:t>》</w:t>
      </w:r>
      <w:r>
        <w:rPr>
          <w:rFonts w:hint="default" w:ascii="仿宋_GB2312" w:eastAsia="仿宋_GB2312"/>
          <w:sz w:val="32"/>
          <w:szCs w:val="32"/>
          <w:lang w:val="en-US" w:eastAsia="zh-CN"/>
        </w:rPr>
        <w:t>编制有据可依。政策方面，《若干意见》要求从总体规划到专项规划的“五级三类”规划体系，全国部署推进国土空间规划。技术标准层面，</w:t>
      </w:r>
      <w:r>
        <w:rPr>
          <w:rFonts w:hint="eastAsia" w:ascii="仿宋_GB2312" w:eastAsia="仿宋_GB2312"/>
          <w:sz w:val="32"/>
          <w:szCs w:val="32"/>
          <w:lang w:val="en-US" w:eastAsia="zh-CN"/>
        </w:rPr>
        <w:t>新疆维吾尔自然资源厅</w:t>
      </w:r>
      <w:r>
        <w:rPr>
          <w:rFonts w:hint="default" w:ascii="仿宋_GB2312" w:eastAsia="仿宋_GB2312"/>
          <w:sz w:val="32"/>
          <w:szCs w:val="32"/>
          <w:lang w:val="en-US" w:eastAsia="zh-CN"/>
        </w:rPr>
        <w:t>印发《新疆维吾尔自治区乡镇国土空间总体规划编制技术规程》（试行）。在2018年，国家机构改革、规划体系重构之后，现行法律体系下编制《</w:t>
      </w:r>
      <w:r>
        <w:rPr>
          <w:rFonts w:hint="eastAsia" w:ascii="仿宋_GB2312" w:eastAsia="仿宋_GB2312"/>
          <w:sz w:val="32"/>
          <w:szCs w:val="32"/>
          <w:lang w:val="en-US" w:eastAsia="zh-CN"/>
        </w:rPr>
        <w:t>规划</w:t>
      </w:r>
      <w:r>
        <w:rPr>
          <w:rFonts w:hint="default" w:ascii="仿宋_GB2312" w:eastAsia="仿宋_GB2312"/>
          <w:sz w:val="32"/>
          <w:szCs w:val="32"/>
          <w:lang w:val="en-US" w:eastAsia="zh-CN"/>
        </w:rPr>
        <w:t>》是有据可依的。</w:t>
      </w:r>
    </w:p>
    <w:p w14:paraId="77F06A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初步判断，相关法律体系方面，所产生的风险的概率较低，影响程度较小，风险等级较小。</w:t>
      </w:r>
    </w:p>
    <w:p w14:paraId="435D8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决策权限、审批程序</w:t>
      </w:r>
    </w:p>
    <w:p w14:paraId="0AD9DA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《规划》</w:t>
      </w:r>
      <w:r>
        <w:rPr>
          <w:rFonts w:hint="default" w:ascii="仿宋_GB2312" w:eastAsia="仿宋_GB2312"/>
          <w:sz w:val="32"/>
          <w:szCs w:val="32"/>
          <w:lang w:val="en-US" w:eastAsia="zh-CN"/>
        </w:rPr>
        <w:t>编制工作严格</w:t>
      </w:r>
      <w:r>
        <w:rPr>
          <w:rFonts w:hint="eastAsia" w:ascii="仿宋_GB2312" w:eastAsia="仿宋_GB2312"/>
          <w:sz w:val="32"/>
          <w:szCs w:val="32"/>
          <w:lang w:val="en-US" w:eastAsia="zh-CN"/>
        </w:rPr>
        <w:t>按照</w:t>
      </w:r>
      <w:r>
        <w:rPr>
          <w:rFonts w:hint="default" w:ascii="仿宋_GB2312" w:eastAsia="仿宋_GB2312"/>
          <w:sz w:val="32"/>
          <w:szCs w:val="32"/>
          <w:lang w:val="en-US" w:eastAsia="zh-CN"/>
        </w:rPr>
        <w:t>《若干意见》、《自然资源部关于全面开展国土空间规划工作的通知》（自然资发〔2019〕87号）</w:t>
      </w:r>
      <w:r>
        <w:rPr>
          <w:rFonts w:hint="eastAsia" w:ascii="仿宋_GB2312" w:eastAsia="仿宋_GB2312"/>
          <w:sz w:val="32"/>
          <w:szCs w:val="32"/>
          <w:lang w:val="en-US" w:eastAsia="zh-CN"/>
        </w:rPr>
        <w:t>、新疆维吾尔自然资源厅印发《新疆维吾尔自治区乡镇国土空间总体规划编制技术规程（试行）》《新疆全面开展国土空间规划编制工作方案》</w:t>
      </w:r>
      <w:r>
        <w:rPr>
          <w:rFonts w:hint="default" w:ascii="仿宋_GB2312" w:eastAsia="仿宋_GB2312"/>
          <w:sz w:val="32"/>
          <w:szCs w:val="32"/>
          <w:lang w:val="en-US" w:eastAsia="zh-CN"/>
        </w:rPr>
        <w:t>等相关文件要求开展，各项前置审批基本按照相关规定和流程进行。</w:t>
      </w:r>
    </w:p>
    <w:p w14:paraId="7525F1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初步判断，在决策权限、审批程序方面，所产生的风险的概率较低，影响程度较小，风险等级较小。</w:t>
      </w:r>
    </w:p>
    <w:p w14:paraId="67D9F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底线约束、绿色发展</w:t>
      </w:r>
    </w:p>
    <w:p w14:paraId="0E6C5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《规划》按照《</w:t>
      </w:r>
      <w:r>
        <w:rPr>
          <w:rFonts w:hint="default" w:ascii="仿宋_GB2312" w:eastAsia="仿宋_GB2312"/>
          <w:sz w:val="32"/>
          <w:szCs w:val="32"/>
          <w:lang w:val="en-US" w:eastAsia="zh-CN"/>
        </w:rPr>
        <w:t>新疆维吾尔自治区乡镇国土空间总体规划编制技术规程》（试行）要求严格落实下达的耕地和永久基本农田保护红线、生态保护红线、城镇开发边界和上位规划确定的其他重要控制线。</w:t>
      </w:r>
    </w:p>
    <w:p w14:paraId="7F62D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初步判断，底线约束、绿色发展方面，所产生的风险的概率较低， 影响程度较小，风险等级较小。</w:t>
      </w:r>
    </w:p>
    <w:p w14:paraId="486E5E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1" w:name="_Toc9823"/>
      <w:r>
        <w:rPr>
          <w:rFonts w:hint="eastAsia" w:ascii="仿宋_GB2312" w:eastAsia="仿宋_GB2312"/>
          <w:b/>
          <w:bCs/>
          <w:sz w:val="32"/>
          <w:szCs w:val="32"/>
          <w:lang w:val="en-US" w:eastAsia="zh-CN"/>
        </w:rPr>
        <w:t>2</w:t>
      </w:r>
      <w:r>
        <w:rPr>
          <w:rFonts w:hint="default" w:ascii="仿宋_GB2312" w:eastAsia="仿宋_GB2312"/>
          <w:b/>
          <w:bCs/>
          <w:sz w:val="32"/>
          <w:szCs w:val="32"/>
          <w:lang w:val="en-US" w:eastAsia="zh-CN"/>
        </w:rPr>
        <w:t>、合理性评估</w:t>
      </w:r>
      <w:bookmarkEnd w:id="41"/>
    </w:p>
    <w:p w14:paraId="43DD78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（1）以</w:t>
      </w:r>
      <w:r>
        <w:rPr>
          <w:rFonts w:hint="default" w:ascii="仿宋_GB2312" w:eastAsia="仿宋_GB2312"/>
          <w:sz w:val="32"/>
          <w:szCs w:val="32"/>
          <w:lang w:val="en-US" w:eastAsia="zh-CN"/>
        </w:rPr>
        <w:t>人民为中心、高质量发展</w:t>
      </w:r>
    </w:p>
    <w:p w14:paraId="33CA8F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《规划》</w:t>
      </w:r>
      <w:r>
        <w:rPr>
          <w:rFonts w:hint="default" w:ascii="仿宋_GB2312" w:eastAsia="仿宋_GB2312"/>
          <w:sz w:val="32"/>
          <w:szCs w:val="32"/>
          <w:lang w:val="en-US" w:eastAsia="zh-CN"/>
        </w:rPr>
        <w:t>编制坚持以人民为中心，规划编制阶段通过全方面开展公众意见征集调查，通过</w:t>
      </w:r>
      <w:r>
        <w:rPr>
          <w:rFonts w:hint="eastAsia" w:ascii="仿宋_GB2312" w:eastAsia="仿宋_GB2312"/>
          <w:sz w:val="32"/>
          <w:szCs w:val="32"/>
          <w:lang w:val="en-US" w:eastAsia="zh-CN"/>
        </w:rPr>
        <w:t>对乡镇、村庄意见征求</w:t>
      </w:r>
      <w:r>
        <w:rPr>
          <w:rFonts w:hint="default" w:ascii="仿宋_GB2312" w:eastAsia="仿宋_GB2312"/>
          <w:sz w:val="32"/>
          <w:szCs w:val="32"/>
          <w:lang w:val="en-US" w:eastAsia="zh-CN"/>
        </w:rPr>
        <w:t>，广泛听取</w:t>
      </w:r>
      <w:r>
        <w:rPr>
          <w:rFonts w:hint="eastAsia" w:ascii="仿宋_GB2312" w:eastAsia="仿宋_GB2312"/>
          <w:sz w:val="32"/>
          <w:szCs w:val="32"/>
          <w:lang w:val="en-US" w:eastAsia="zh-CN"/>
        </w:rPr>
        <w:t>群众</w:t>
      </w:r>
      <w:r>
        <w:rPr>
          <w:rFonts w:hint="default" w:ascii="仿宋_GB2312" w:eastAsia="仿宋_GB2312"/>
          <w:sz w:val="32"/>
          <w:szCs w:val="32"/>
          <w:lang w:val="en-US" w:eastAsia="zh-CN"/>
        </w:rPr>
        <w:t>对于规划编制的意见建议并认真研究。</w:t>
      </w:r>
    </w:p>
    <w:p w14:paraId="55711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初步判断，在以人民为中心、高质量发展方面，所产生的风险的概率较低，影响程度较小，风险等级较小。</w:t>
      </w:r>
    </w:p>
    <w:p w14:paraId="5ADCA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同步推进、统筹协同</w:t>
      </w:r>
    </w:p>
    <w:p w14:paraId="5D9B0E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《规划》</w:t>
      </w:r>
      <w:r>
        <w:rPr>
          <w:rFonts w:hint="default" w:ascii="仿宋_GB2312" w:eastAsia="仿宋_GB2312"/>
          <w:sz w:val="32"/>
          <w:szCs w:val="32"/>
          <w:lang w:val="en-US" w:eastAsia="zh-CN"/>
        </w:rPr>
        <w:t>编制</w:t>
      </w:r>
      <w:r>
        <w:rPr>
          <w:rFonts w:hint="eastAsia" w:ascii="仿宋_GB2312" w:eastAsia="仿宋_GB2312"/>
          <w:sz w:val="32"/>
          <w:szCs w:val="32"/>
          <w:lang w:val="en-US" w:eastAsia="zh-CN"/>
        </w:rPr>
        <w:t>与下辖村庄的村庄规划</w:t>
      </w:r>
      <w:r>
        <w:rPr>
          <w:rFonts w:hint="default" w:ascii="仿宋_GB2312" w:eastAsia="仿宋_GB2312"/>
          <w:sz w:val="32"/>
          <w:szCs w:val="32"/>
          <w:lang w:val="en-US" w:eastAsia="zh-CN"/>
        </w:rPr>
        <w:t>同步推进，自上而下、上下联动，协同</w:t>
      </w:r>
      <w:r>
        <w:rPr>
          <w:rFonts w:hint="eastAsia" w:ascii="仿宋_GB2312" w:eastAsia="仿宋_GB2312"/>
          <w:sz w:val="32"/>
          <w:szCs w:val="32"/>
          <w:lang w:val="en-US" w:eastAsia="zh-CN"/>
        </w:rPr>
        <w:t>落实</w:t>
      </w:r>
      <w:r>
        <w:rPr>
          <w:rFonts w:hint="default" w:ascii="仿宋_GB2312" w:eastAsia="仿宋_GB2312"/>
          <w:sz w:val="32"/>
          <w:szCs w:val="32"/>
          <w:lang w:val="en-US" w:eastAsia="zh-CN"/>
        </w:rPr>
        <w:t>生态保护红线、永久基本农田、城镇开发边界，各级政府、相关部门之间相互协作，共同研究规划重大问题。充分考虑了各方对产业政策的引导、区域内空间要素的配置、自然资源的开发利用、重大基础设施建设等诸多关系的宏观调控方面的各自发展诉求，有利于规划方案后续的落地实施。</w:t>
      </w:r>
    </w:p>
    <w:p w14:paraId="7D7D64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初步判断，在同步推进、统筹协同方面，所产生的风险的概率较低，影响程度较小，风险等级较小。</w:t>
      </w:r>
    </w:p>
    <w:p w14:paraId="6AD570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2" w:name="_Toc23722"/>
      <w:r>
        <w:rPr>
          <w:rFonts w:hint="eastAsia" w:ascii="仿宋_GB2312" w:eastAsia="仿宋_GB2312"/>
          <w:b/>
          <w:bCs/>
          <w:sz w:val="32"/>
          <w:szCs w:val="32"/>
          <w:lang w:val="en-US" w:eastAsia="zh-CN"/>
        </w:rPr>
        <w:t>3</w:t>
      </w:r>
      <w:r>
        <w:rPr>
          <w:rFonts w:hint="default" w:ascii="仿宋_GB2312" w:eastAsia="仿宋_GB2312"/>
          <w:b/>
          <w:bCs/>
          <w:sz w:val="32"/>
          <w:szCs w:val="32"/>
          <w:lang w:val="en-US" w:eastAsia="zh-CN"/>
        </w:rPr>
        <w:t>、可行性评估</w:t>
      </w:r>
      <w:bookmarkEnd w:id="42"/>
    </w:p>
    <w:p w14:paraId="3115B6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因地制宜、分类指导</w:t>
      </w:r>
    </w:p>
    <w:p w14:paraId="47031C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《规划》</w:t>
      </w:r>
      <w:r>
        <w:rPr>
          <w:rFonts w:hint="default" w:ascii="仿宋_GB2312" w:eastAsia="仿宋_GB2312"/>
          <w:sz w:val="32"/>
          <w:szCs w:val="32"/>
          <w:lang w:val="en-US" w:eastAsia="zh-CN"/>
        </w:rPr>
        <w:t>编制及相关专题研究针对</w:t>
      </w:r>
      <w:r>
        <w:rPr>
          <w:rFonts w:hint="eastAsia" w:ascii="仿宋_GB2312" w:eastAsia="仿宋_GB2312"/>
          <w:sz w:val="32"/>
          <w:szCs w:val="32"/>
          <w:lang w:val="en-US" w:eastAsia="zh-CN"/>
        </w:rPr>
        <w:t>达玛沟乡、恰哈乡、奴尔乡</w:t>
      </w:r>
      <w:r>
        <w:rPr>
          <w:rFonts w:hint="default" w:ascii="仿宋_GB2312" w:eastAsia="仿宋_GB2312"/>
          <w:sz w:val="32"/>
          <w:szCs w:val="32"/>
          <w:lang w:val="en-US" w:eastAsia="zh-CN"/>
        </w:rPr>
        <w:t>现有的空间底线、空间结构效率、空间品质、城镇规模等级与职能特点、各类自然禀赋、人文特色等进行扎实的梳理研究，通过了</w:t>
      </w:r>
      <w:r>
        <w:rPr>
          <w:rFonts w:hint="eastAsia" w:ascii="仿宋_GB2312" w:eastAsia="仿宋_GB2312"/>
          <w:sz w:val="32"/>
          <w:szCs w:val="32"/>
          <w:lang w:val="en-US" w:eastAsia="zh-CN"/>
        </w:rPr>
        <w:t>策勒县自然资源局、和田地区自然资源局分别组织的</w:t>
      </w:r>
      <w:r>
        <w:rPr>
          <w:rFonts w:hint="default" w:ascii="仿宋_GB2312" w:eastAsia="仿宋_GB2312"/>
          <w:sz w:val="32"/>
          <w:szCs w:val="32"/>
          <w:lang w:val="en-US" w:eastAsia="zh-CN"/>
        </w:rPr>
        <w:t>专家评审。</w:t>
      </w:r>
    </w:p>
    <w:p w14:paraId="1DA20F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初步判断，在因地制宜、分类指导方面，所产生的风险的概率较低，影响程度较小，风险等级较小。</w:t>
      </w:r>
    </w:p>
    <w:p w14:paraId="4A5346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多方参与、科学决策</w:t>
      </w:r>
    </w:p>
    <w:p w14:paraId="27B142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规划方案形成过程中以多种方式广纳民意、集中民智、凝聚共识。社会公众、相关部门反馈的意见和建议，经过深思熟虑、论证研究后做出是否采纳的决定，并撰写了意见采纳情况的说明。</w:t>
      </w:r>
    </w:p>
    <w:p w14:paraId="258E4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初步判断，多方参与、科学决策方面，所产生的风险的概率较低， 影响程度较小，风险等级较小。</w:t>
      </w:r>
    </w:p>
    <w:p w14:paraId="05ADB3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3" w:name="_Toc7945"/>
      <w:r>
        <w:rPr>
          <w:rFonts w:hint="eastAsia" w:ascii="仿宋_GB2312" w:eastAsia="仿宋_GB2312"/>
          <w:b/>
          <w:bCs/>
          <w:sz w:val="32"/>
          <w:szCs w:val="32"/>
          <w:lang w:val="en-US" w:eastAsia="zh-CN"/>
        </w:rPr>
        <w:t>4</w:t>
      </w:r>
      <w:r>
        <w:rPr>
          <w:rFonts w:hint="default" w:ascii="仿宋_GB2312" w:eastAsia="仿宋_GB2312"/>
          <w:b/>
          <w:bCs/>
          <w:sz w:val="32"/>
          <w:szCs w:val="32"/>
          <w:lang w:val="en-US" w:eastAsia="zh-CN"/>
        </w:rPr>
        <w:t>、可控性评估</w:t>
      </w:r>
      <w:bookmarkEnd w:id="43"/>
    </w:p>
    <w:p w14:paraId="580FC8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规划成果规范有效</w:t>
      </w:r>
    </w:p>
    <w:p w14:paraId="0FBC17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《规划》</w:t>
      </w:r>
      <w:r>
        <w:rPr>
          <w:rFonts w:hint="default" w:ascii="仿宋_GB2312" w:eastAsia="仿宋_GB2312"/>
          <w:sz w:val="32"/>
          <w:szCs w:val="32"/>
          <w:lang w:val="en-US" w:eastAsia="zh-CN"/>
        </w:rPr>
        <w:t>自</w:t>
      </w:r>
      <w:r>
        <w:rPr>
          <w:rFonts w:hint="eastAsia" w:ascii="仿宋_GB2312" w:eastAsia="仿宋_GB2312"/>
          <w:sz w:val="32"/>
          <w:szCs w:val="32"/>
          <w:lang w:val="en-US" w:eastAsia="zh-CN"/>
        </w:rPr>
        <w:t>2023</w:t>
      </w:r>
      <w:r>
        <w:rPr>
          <w:rFonts w:hint="default" w:ascii="仿宋_GB2312" w:eastAsia="仿宋_GB2312"/>
          <w:sz w:val="32"/>
          <w:szCs w:val="32"/>
          <w:lang w:val="en-US" w:eastAsia="zh-CN"/>
        </w:rPr>
        <w:t>年启动编制，历经近</w:t>
      </w:r>
      <w:r>
        <w:rPr>
          <w:rFonts w:hint="eastAsia" w:ascii="仿宋_GB2312" w:eastAsia="仿宋_GB2312"/>
          <w:sz w:val="32"/>
          <w:szCs w:val="32"/>
          <w:lang w:val="en-US" w:eastAsia="zh-CN"/>
        </w:rPr>
        <w:t>两</w:t>
      </w:r>
      <w:r>
        <w:rPr>
          <w:rFonts w:hint="default" w:ascii="仿宋_GB2312" w:eastAsia="仿宋_GB2312"/>
          <w:sz w:val="32"/>
          <w:szCs w:val="32"/>
          <w:lang w:val="en-US" w:eastAsia="zh-CN"/>
        </w:rPr>
        <w:t>年的时间对</w:t>
      </w:r>
      <w:r>
        <w:rPr>
          <w:rFonts w:hint="eastAsia" w:ascii="仿宋_GB2312" w:eastAsia="仿宋_GB2312"/>
          <w:sz w:val="32"/>
          <w:szCs w:val="32"/>
          <w:lang w:val="en-US" w:eastAsia="zh-CN"/>
        </w:rPr>
        <w:t>三个乡镇</w:t>
      </w:r>
      <w:r>
        <w:rPr>
          <w:rFonts w:hint="default" w:ascii="仿宋_GB2312" w:eastAsia="仿宋_GB2312"/>
          <w:sz w:val="32"/>
          <w:szCs w:val="32"/>
          <w:lang w:val="en-US" w:eastAsia="zh-CN"/>
        </w:rPr>
        <w:t>现状实际、未来发展均有较好的认知与研究，以上位规划、编制导则等相关技术文件为依据，并通过专家评审。</w:t>
      </w:r>
    </w:p>
    <w:p w14:paraId="121566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初步判断，规划成果规范有效方面，所产生的风险的概率较低，影响程度较小，风险等级较小。</w:t>
      </w:r>
    </w:p>
    <w:p w14:paraId="4C5C0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阳光规划</w:t>
      </w:r>
    </w:p>
    <w:p w14:paraId="33CC8F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本规划编制过程中，向社会公众、相关部门发布草案成果，广泛征求意见，并经论证研究后积极采纳社会公众、相关部门的意见和建议。</w:t>
      </w:r>
    </w:p>
    <w:p w14:paraId="0C792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初步判断，阳光规划方面，所产生的风险的概率较低，影响程度较小，风险等级较小。</w:t>
      </w:r>
    </w:p>
    <w:p w14:paraId="47243A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实施机制切实有效</w:t>
      </w:r>
    </w:p>
    <w:p w14:paraId="1636D7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《规划》</w:t>
      </w:r>
      <w:r>
        <w:rPr>
          <w:rFonts w:hint="default" w:ascii="仿宋_GB2312" w:eastAsia="仿宋_GB2312"/>
          <w:sz w:val="32"/>
          <w:szCs w:val="32"/>
          <w:lang w:val="en-US" w:eastAsia="zh-CN"/>
        </w:rPr>
        <w:t>从“加强党的领导</w:t>
      </w:r>
      <w:r>
        <w:rPr>
          <w:rFonts w:hint="eastAsia" w:ascii="仿宋_GB2312" w:eastAsia="仿宋_GB2312"/>
          <w:sz w:val="32"/>
          <w:szCs w:val="32"/>
          <w:lang w:val="en-US" w:eastAsia="zh-CN"/>
        </w:rPr>
        <w:t>”“</w:t>
      </w:r>
      <w:r>
        <w:rPr>
          <w:rFonts w:hint="default" w:ascii="仿宋_GB2312" w:eastAsia="仿宋_GB2312"/>
          <w:sz w:val="32"/>
          <w:szCs w:val="32"/>
          <w:lang w:val="en-US" w:eastAsia="zh-CN"/>
        </w:rPr>
        <w:t>规划传导与用途管制</w:t>
      </w:r>
      <w:r>
        <w:rPr>
          <w:rFonts w:hint="eastAsia" w:ascii="仿宋_GB2312" w:eastAsia="仿宋_GB2312"/>
          <w:sz w:val="32"/>
          <w:szCs w:val="32"/>
          <w:lang w:val="en-US" w:eastAsia="zh-CN"/>
        </w:rPr>
        <w:t>”“</w:t>
      </w:r>
      <w:r>
        <w:rPr>
          <w:rFonts w:hint="default" w:ascii="仿宋_GB2312" w:eastAsia="仿宋_GB2312"/>
          <w:sz w:val="32"/>
          <w:szCs w:val="32"/>
          <w:lang w:val="en-US" w:eastAsia="zh-CN"/>
        </w:rPr>
        <w:t>规划全生命周期管理</w:t>
      </w:r>
      <w:r>
        <w:rPr>
          <w:rFonts w:hint="eastAsia" w:ascii="仿宋_GB2312" w:eastAsia="仿宋_GB2312"/>
          <w:sz w:val="32"/>
          <w:szCs w:val="32"/>
          <w:lang w:val="en-US" w:eastAsia="zh-CN"/>
        </w:rPr>
        <w:t>”“</w:t>
      </w:r>
      <w:r>
        <w:rPr>
          <w:rFonts w:hint="default" w:ascii="仿宋_GB2312" w:eastAsia="仿宋_GB2312"/>
          <w:sz w:val="32"/>
          <w:szCs w:val="32"/>
          <w:lang w:val="en-US" w:eastAsia="zh-CN"/>
        </w:rPr>
        <w:t>制定近期行动计划</w:t>
      </w:r>
      <w:r>
        <w:rPr>
          <w:rFonts w:hint="eastAsia" w:ascii="仿宋_GB2312" w:eastAsia="仿宋_GB2312"/>
          <w:sz w:val="32"/>
          <w:szCs w:val="32"/>
          <w:lang w:val="en-US" w:eastAsia="zh-CN"/>
        </w:rPr>
        <w:t>”“</w:t>
      </w:r>
      <w:r>
        <w:rPr>
          <w:rFonts w:hint="default" w:ascii="仿宋_GB2312" w:eastAsia="仿宋_GB2312"/>
          <w:sz w:val="32"/>
          <w:szCs w:val="32"/>
          <w:lang w:val="en-US" w:eastAsia="zh-CN"/>
        </w:rPr>
        <w:t>强化政策保障”等方面，立足</w:t>
      </w:r>
      <w:r>
        <w:rPr>
          <w:rFonts w:hint="eastAsia" w:ascii="仿宋_GB2312" w:eastAsia="仿宋_GB2312"/>
          <w:sz w:val="32"/>
          <w:szCs w:val="32"/>
          <w:lang w:val="en-US" w:eastAsia="zh-CN"/>
        </w:rPr>
        <w:t>乡镇</w:t>
      </w:r>
      <w:r>
        <w:rPr>
          <w:rFonts w:hint="default" w:ascii="仿宋_GB2312" w:eastAsia="仿宋_GB2312"/>
          <w:sz w:val="32"/>
          <w:szCs w:val="32"/>
          <w:lang w:val="en-US" w:eastAsia="zh-CN"/>
        </w:rPr>
        <w:t>国土空间治理的职能和权限，提出了有针对性和可操作性规划实施保障措施。</w:t>
      </w:r>
    </w:p>
    <w:p w14:paraId="7FAE1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初步判断，在实施机制切实有效方面，所产生的风险的概率较低，影响程度较小，风险等级较小。</w:t>
      </w:r>
    </w:p>
    <w:p w14:paraId="7EC8F1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4" w:name="_Toc15641"/>
      <w:r>
        <w:rPr>
          <w:rFonts w:hint="eastAsia" w:ascii="仿宋_GB2312" w:eastAsia="仿宋_GB2312"/>
          <w:b/>
          <w:bCs/>
          <w:sz w:val="32"/>
          <w:szCs w:val="32"/>
          <w:lang w:val="en-US" w:eastAsia="zh-CN"/>
        </w:rPr>
        <w:t>5</w:t>
      </w:r>
      <w:r>
        <w:rPr>
          <w:rFonts w:hint="default" w:ascii="仿宋_GB2312" w:eastAsia="仿宋_GB2312"/>
          <w:b/>
          <w:bCs/>
          <w:sz w:val="32"/>
          <w:szCs w:val="32"/>
          <w:lang w:val="en-US" w:eastAsia="zh-CN"/>
        </w:rPr>
        <w:t>、社会稳定风险</w:t>
      </w:r>
      <w:bookmarkEnd w:id="44"/>
    </w:p>
    <w:p w14:paraId="2E785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规划编制项目组始终坚持“以人民为中心”的思想，以“高质量发展”为视角，编制规划方案。</w:t>
      </w:r>
      <w:r>
        <w:rPr>
          <w:rFonts w:hint="eastAsia" w:ascii="仿宋_GB2312" w:eastAsia="仿宋_GB2312"/>
          <w:sz w:val="32"/>
          <w:szCs w:val="32"/>
          <w:lang w:val="en-US" w:eastAsia="zh-CN"/>
        </w:rPr>
        <w:t>《</w:t>
      </w:r>
      <w:r>
        <w:rPr>
          <w:rFonts w:hint="default" w:ascii="仿宋_GB2312" w:eastAsia="仿宋_GB2312"/>
          <w:sz w:val="32"/>
          <w:szCs w:val="32"/>
          <w:lang w:val="en-US" w:eastAsia="zh-CN"/>
        </w:rPr>
        <w:t>规划</w:t>
      </w:r>
      <w:r>
        <w:rPr>
          <w:rFonts w:hint="eastAsia" w:ascii="仿宋_GB2312" w:eastAsia="仿宋_GB2312"/>
          <w:sz w:val="32"/>
          <w:szCs w:val="32"/>
          <w:lang w:val="en-US" w:eastAsia="zh-CN"/>
        </w:rPr>
        <w:t>》</w:t>
      </w:r>
      <w:r>
        <w:rPr>
          <w:rFonts w:hint="default" w:ascii="仿宋_GB2312" w:eastAsia="仿宋_GB2312"/>
          <w:sz w:val="32"/>
          <w:szCs w:val="32"/>
          <w:lang w:val="en-US" w:eastAsia="zh-CN"/>
        </w:rPr>
        <w:t>在广泛征求社会公众意见期间，未出现诋毁诽谤规划内容、谋取自我利益、反对</w:t>
      </w:r>
      <w:r>
        <w:rPr>
          <w:rFonts w:hint="eastAsia" w:ascii="仿宋_GB2312" w:eastAsia="仿宋_GB2312"/>
          <w:sz w:val="32"/>
          <w:szCs w:val="32"/>
          <w:lang w:val="en-US" w:eastAsia="zh-CN"/>
        </w:rPr>
        <w:t>《规划》</w:t>
      </w:r>
      <w:r>
        <w:rPr>
          <w:rFonts w:hint="default" w:ascii="仿宋_GB2312" w:eastAsia="仿宋_GB2312"/>
          <w:sz w:val="32"/>
          <w:szCs w:val="32"/>
          <w:lang w:val="en-US" w:eastAsia="zh-CN"/>
        </w:rPr>
        <w:t>决策以及其他可能涉及社会矛盾、群体性事件等方面的信件，能够被广大人民群众所接受。在规划的实施过程中，出现矛盾纠纷、社会群体性事件的概率较小。</w:t>
      </w:r>
    </w:p>
    <w:p w14:paraId="01A5E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初步判断，在社会稳定风险方面，所产生的风险的概率较低，影响程度较小，风险等级较小。</w:t>
      </w:r>
    </w:p>
    <w:p w14:paraId="6F01EA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5" w:name="_Toc13453"/>
      <w:r>
        <w:rPr>
          <w:rFonts w:hint="eastAsia" w:ascii="仿宋_GB2312" w:eastAsia="仿宋_GB2312"/>
          <w:b/>
          <w:bCs/>
          <w:sz w:val="32"/>
          <w:szCs w:val="32"/>
          <w:lang w:val="en-US" w:eastAsia="zh-CN"/>
        </w:rPr>
        <w:t>6</w:t>
      </w:r>
      <w:r>
        <w:rPr>
          <w:rFonts w:hint="default" w:ascii="仿宋_GB2312" w:eastAsia="仿宋_GB2312"/>
          <w:b/>
          <w:bCs/>
          <w:sz w:val="32"/>
          <w:szCs w:val="32"/>
          <w:lang w:val="en-US" w:eastAsia="zh-CN"/>
        </w:rPr>
        <w:t>、公共安全风险</w:t>
      </w:r>
      <w:bookmarkEnd w:id="45"/>
    </w:p>
    <w:p w14:paraId="19F757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国土空间规划是对一定区域国土空间开发保护在空间和时间上作出的安排，是</w:t>
      </w:r>
      <w:r>
        <w:rPr>
          <w:rFonts w:hint="eastAsia" w:ascii="仿宋_GB2312" w:eastAsia="仿宋_GB2312"/>
          <w:sz w:val="32"/>
          <w:szCs w:val="32"/>
          <w:lang w:val="en-US" w:eastAsia="zh-CN"/>
        </w:rPr>
        <w:t>乡镇</w:t>
      </w:r>
      <w:r>
        <w:rPr>
          <w:rFonts w:hint="default" w:ascii="仿宋_GB2312" w:eastAsia="仿宋_GB2312"/>
          <w:sz w:val="32"/>
          <w:szCs w:val="32"/>
          <w:lang w:val="en-US" w:eastAsia="zh-CN"/>
        </w:rPr>
        <w:t>编制国土空间总体规划、详细规划、相关专项规划和开展各类开发保护建设活动，实施国土空间用途管制的基本依据，对造成人身伤害、财产损害的可能性较小。</w:t>
      </w:r>
    </w:p>
    <w:p w14:paraId="02616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初步判断，在公共安全风险方面，所产生的风险的概率较低，影响程度较小，风险等级较小。</w:t>
      </w:r>
    </w:p>
    <w:p w14:paraId="1CCA7C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6" w:name="_Toc5556"/>
      <w:r>
        <w:rPr>
          <w:rFonts w:hint="eastAsia" w:ascii="仿宋_GB2312" w:eastAsia="仿宋_GB2312"/>
          <w:b/>
          <w:bCs/>
          <w:sz w:val="32"/>
          <w:szCs w:val="32"/>
          <w:lang w:val="en-US" w:eastAsia="zh-CN"/>
        </w:rPr>
        <w:t>7</w:t>
      </w:r>
      <w:r>
        <w:rPr>
          <w:rFonts w:hint="default" w:ascii="仿宋_GB2312" w:eastAsia="仿宋_GB2312"/>
          <w:b/>
          <w:bCs/>
          <w:sz w:val="32"/>
          <w:szCs w:val="32"/>
          <w:lang w:val="en-US" w:eastAsia="zh-CN"/>
        </w:rPr>
        <w:t>、生态环境风险</w:t>
      </w:r>
      <w:bookmarkEnd w:id="46"/>
    </w:p>
    <w:p w14:paraId="71CCD2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主动积极向生态环境主管部门征求意见，并按照其反馈的意见修改完善规划成果</w:t>
      </w:r>
      <w:r>
        <w:rPr>
          <w:rFonts w:hint="eastAsia" w:ascii="仿宋_GB2312" w:eastAsia="仿宋_GB2312"/>
          <w:sz w:val="32"/>
          <w:szCs w:val="32"/>
          <w:lang w:val="en-US" w:eastAsia="zh-CN"/>
        </w:rPr>
        <w:t>，</w:t>
      </w:r>
      <w:r>
        <w:rPr>
          <w:rFonts w:hint="default" w:ascii="仿宋_GB2312" w:eastAsia="仿宋_GB2312"/>
          <w:sz w:val="32"/>
          <w:szCs w:val="32"/>
          <w:lang w:val="en-US" w:eastAsia="zh-CN"/>
        </w:rPr>
        <w:t>最终划定成果报上级部门并征得同意。</w:t>
      </w:r>
    </w:p>
    <w:p w14:paraId="0EDA8B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初步判断，在生态环境风险方面，所产生的风险的概率较低，影响程度较小，风险等级较小。</w:t>
      </w:r>
    </w:p>
    <w:p w14:paraId="50D9EA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7" w:name="_Toc9833"/>
      <w:r>
        <w:rPr>
          <w:rFonts w:hint="eastAsia" w:ascii="仿宋_GB2312" w:eastAsia="仿宋_GB2312"/>
          <w:b/>
          <w:bCs/>
          <w:sz w:val="32"/>
          <w:szCs w:val="32"/>
          <w:lang w:val="en-US" w:eastAsia="zh-CN"/>
        </w:rPr>
        <w:t>8</w:t>
      </w:r>
      <w:r>
        <w:rPr>
          <w:rFonts w:hint="default" w:ascii="仿宋_GB2312" w:eastAsia="仿宋_GB2312"/>
          <w:b/>
          <w:bCs/>
          <w:sz w:val="32"/>
          <w:szCs w:val="32"/>
          <w:lang w:val="en-US" w:eastAsia="zh-CN"/>
        </w:rPr>
        <w:t>、财政金融风险</w:t>
      </w:r>
      <w:bookmarkEnd w:id="47"/>
    </w:p>
    <w:p w14:paraId="52A7B9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根据</w:t>
      </w:r>
      <w:r>
        <w:rPr>
          <w:rFonts w:hint="eastAsia" w:ascii="仿宋_GB2312" w:eastAsia="仿宋_GB2312"/>
          <w:sz w:val="32"/>
          <w:szCs w:val="32"/>
          <w:lang w:val="en-US" w:eastAsia="zh-CN"/>
        </w:rPr>
        <w:t>《规划》</w:t>
      </w:r>
      <w:r>
        <w:rPr>
          <w:rFonts w:hint="default" w:ascii="仿宋_GB2312" w:eastAsia="仿宋_GB2312"/>
          <w:sz w:val="32"/>
          <w:szCs w:val="32"/>
          <w:lang w:val="en-US" w:eastAsia="zh-CN"/>
        </w:rPr>
        <w:t>内容，结合实际，制定了编制经费预算和规划信息系统经费预算。为保障国土空间总体规划编制工作的顺利进行，规划编制预算报</w:t>
      </w:r>
      <w:r>
        <w:rPr>
          <w:rFonts w:hint="eastAsia" w:ascii="仿宋_GB2312" w:eastAsia="仿宋_GB2312"/>
          <w:sz w:val="32"/>
          <w:szCs w:val="32"/>
          <w:lang w:val="en-US" w:eastAsia="zh-CN"/>
        </w:rPr>
        <w:t>县</w:t>
      </w:r>
      <w:r>
        <w:rPr>
          <w:rFonts w:hint="default" w:ascii="仿宋_GB2312" w:eastAsia="仿宋_GB2312"/>
          <w:sz w:val="32"/>
          <w:szCs w:val="32"/>
          <w:lang w:val="en-US" w:eastAsia="zh-CN"/>
        </w:rPr>
        <w:t>政府审批并纳入</w:t>
      </w:r>
      <w:r>
        <w:rPr>
          <w:rFonts w:hint="eastAsia" w:ascii="仿宋_GB2312" w:eastAsia="仿宋_GB2312"/>
          <w:sz w:val="32"/>
          <w:szCs w:val="32"/>
          <w:lang w:val="en-US" w:eastAsia="zh-CN"/>
        </w:rPr>
        <w:t>县</w:t>
      </w:r>
      <w:r>
        <w:rPr>
          <w:rFonts w:hint="default" w:ascii="仿宋_GB2312" w:eastAsia="仿宋_GB2312"/>
          <w:sz w:val="32"/>
          <w:szCs w:val="32"/>
          <w:lang w:val="en-US" w:eastAsia="zh-CN"/>
        </w:rPr>
        <w:t>政府财政预算，不会造成政府债务增加、超出政府偿债能力，不会造成财政支出扩大。</w:t>
      </w:r>
    </w:p>
    <w:p w14:paraId="58D239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初步判断，在财政金融风险方面，所产生的风险的概率较低，影响程度较小，风险等级较小。</w:t>
      </w:r>
    </w:p>
    <w:p w14:paraId="1AE3E9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仿宋_GB2312" w:eastAsia="仿宋_GB2312"/>
          <w:b/>
          <w:bCs/>
          <w:sz w:val="32"/>
          <w:szCs w:val="32"/>
          <w:lang w:val="en-US" w:eastAsia="zh-CN"/>
        </w:rPr>
      </w:pPr>
      <w:bookmarkStart w:id="48" w:name="_Toc30660"/>
      <w:r>
        <w:rPr>
          <w:rFonts w:hint="eastAsia" w:ascii="仿宋_GB2312" w:eastAsia="仿宋_GB2312"/>
          <w:b/>
          <w:bCs/>
          <w:sz w:val="32"/>
          <w:szCs w:val="32"/>
          <w:lang w:val="en-US" w:eastAsia="zh-CN"/>
        </w:rPr>
        <w:t>9</w:t>
      </w:r>
      <w:r>
        <w:rPr>
          <w:rFonts w:hint="default" w:ascii="仿宋_GB2312" w:eastAsia="仿宋_GB2312"/>
          <w:b/>
          <w:bCs/>
          <w:sz w:val="32"/>
          <w:szCs w:val="32"/>
          <w:lang w:val="en-US" w:eastAsia="zh-CN"/>
        </w:rPr>
        <w:t>、舆情风险</w:t>
      </w:r>
      <w:bookmarkEnd w:id="48"/>
    </w:p>
    <w:p w14:paraId="49456B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4</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w:t>
      </w:r>
      <w:r>
        <w:rPr>
          <w:rFonts w:hint="default" w:ascii="仿宋_GB2312" w:eastAsia="仿宋_GB2312"/>
          <w:sz w:val="32"/>
          <w:szCs w:val="32"/>
          <w:lang w:val="en-US" w:eastAsia="zh-CN"/>
        </w:rPr>
        <w:t>通过</w:t>
      </w:r>
      <w:r>
        <w:rPr>
          <w:rFonts w:hint="eastAsia" w:ascii="仿宋_GB2312" w:eastAsia="仿宋_GB2312"/>
          <w:sz w:val="32"/>
          <w:szCs w:val="32"/>
          <w:lang w:val="en-US" w:eastAsia="zh-CN"/>
        </w:rPr>
        <w:t>策勒县</w:t>
      </w:r>
      <w:r>
        <w:rPr>
          <w:rFonts w:hint="default" w:ascii="仿宋_GB2312" w:eastAsia="仿宋_GB2312"/>
          <w:sz w:val="32"/>
          <w:szCs w:val="32"/>
          <w:lang w:val="en-US" w:eastAsia="zh-CN"/>
        </w:rPr>
        <w:t>人民政府网站发布公开征求意见的公告。自发布公告以来，定期跟踪查询媒体网络舆情，暂未发现相关负面评价的情形。</w:t>
      </w:r>
    </w:p>
    <w:p w14:paraId="2D019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初步判断，媒体舆情风险方面，所产生的风险的概率较低，影响程度较小，风险等级较小。</w:t>
      </w:r>
    </w:p>
    <w:p w14:paraId="4D6707BF">
      <w:pPr>
        <w:spacing w:line="360" w:lineRule="auto"/>
        <w:ind w:firstLine="560" w:firstLineChars="200"/>
        <w:outlineLvl w:val="1"/>
        <w:rPr>
          <w:rFonts w:hint="default" w:ascii="黑体" w:hAnsi="黑体" w:eastAsia="黑体" w:cs="黑体"/>
          <w:sz w:val="28"/>
          <w:szCs w:val="28"/>
          <w:lang w:val="en-US" w:eastAsia="zh-CN"/>
        </w:rPr>
      </w:pPr>
      <w:bookmarkStart w:id="49" w:name="_Toc22900"/>
      <w:bookmarkStart w:id="50" w:name="_Toc31912"/>
      <w:r>
        <w:rPr>
          <w:rFonts w:hint="eastAsia" w:ascii="黑体" w:hAnsi="黑体" w:eastAsia="黑体" w:cs="黑体"/>
          <w:sz w:val="28"/>
          <w:szCs w:val="28"/>
          <w:lang w:val="en-US" w:eastAsia="zh-CN"/>
        </w:rPr>
        <w:t>（四）</w:t>
      </w:r>
      <w:r>
        <w:rPr>
          <w:rFonts w:hint="default" w:ascii="黑体" w:hAnsi="黑体" w:eastAsia="黑体" w:cs="黑体"/>
          <w:sz w:val="28"/>
          <w:szCs w:val="28"/>
          <w:lang w:val="en-US" w:eastAsia="zh-CN"/>
        </w:rPr>
        <w:t>风险等级初判断</w:t>
      </w:r>
      <w:bookmarkEnd w:id="49"/>
      <w:bookmarkEnd w:id="50"/>
    </w:p>
    <w:p w14:paraId="07249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default" w:ascii="仿宋_GB2312" w:eastAsia="仿宋_GB2312"/>
          <w:sz w:val="32"/>
          <w:szCs w:val="32"/>
          <w:lang w:val="en-US" w:eastAsia="zh-CN"/>
        </w:rPr>
        <w:t>综合上述合法性、合理性、可行性、可控性、社会稳定风险、公 共安全风险、生态环境风险、财政金融风险、舆情风险等九个方面、共计17项具体风险因素的分析评估，各项社会风险较小。根据《</w:t>
      </w:r>
      <w:r>
        <w:rPr>
          <w:rFonts w:hint="eastAsia" w:ascii="仿宋_GB2312" w:eastAsia="仿宋_GB2312"/>
          <w:sz w:val="32"/>
          <w:szCs w:val="32"/>
          <w:lang w:val="en-US" w:eastAsia="zh-CN"/>
        </w:rPr>
        <w:t>新疆维吾尔自治区</w:t>
      </w:r>
      <w:r>
        <w:rPr>
          <w:rFonts w:hint="default" w:ascii="仿宋_GB2312" w:eastAsia="仿宋_GB2312"/>
          <w:sz w:val="32"/>
          <w:szCs w:val="32"/>
          <w:lang w:val="en-US" w:eastAsia="zh-CN"/>
        </w:rPr>
        <w:t>重大行政决策程序规定》风险等级划分情况，</w:t>
      </w:r>
      <w:r>
        <w:rPr>
          <w:rFonts w:hint="eastAsia" w:ascii="仿宋_GB2312" w:eastAsia="仿宋_GB2312"/>
          <w:sz w:val="32"/>
          <w:szCs w:val="32"/>
          <w:lang w:val="en-US" w:eastAsia="zh-CN"/>
        </w:rPr>
        <w:t>《规划》</w:t>
      </w:r>
      <w:r>
        <w:rPr>
          <w:rFonts w:hint="default" w:ascii="仿宋_GB2312" w:eastAsia="仿宋_GB2312"/>
          <w:sz w:val="32"/>
          <w:szCs w:val="32"/>
          <w:lang w:val="en-US" w:eastAsia="zh-CN"/>
        </w:rPr>
        <w:t>实施的主要风险因素进行初步判断，初步判断</w:t>
      </w:r>
      <w:r>
        <w:rPr>
          <w:rFonts w:hint="eastAsia" w:ascii="仿宋_GB2312" w:eastAsia="仿宋_GB2312"/>
          <w:sz w:val="32"/>
          <w:szCs w:val="32"/>
          <w:lang w:val="en-US" w:eastAsia="zh-CN"/>
        </w:rPr>
        <w:t>《规划》</w:t>
      </w:r>
      <w:r>
        <w:rPr>
          <w:rFonts w:hint="default" w:ascii="仿宋_GB2312" w:eastAsia="仿宋_GB2312"/>
          <w:sz w:val="32"/>
          <w:szCs w:val="32"/>
          <w:lang w:val="en-US" w:eastAsia="zh-CN"/>
        </w:rPr>
        <w:t>在未采取风险处置措施前，风险等级为低风险。</w:t>
      </w:r>
    </w:p>
    <w:p w14:paraId="60A28D57">
      <w:pPr>
        <w:pStyle w:val="2"/>
        <w:spacing w:before="0" w:after="0"/>
        <w:rPr>
          <w:rFonts w:hint="default" w:ascii="黑体" w:hAnsi="黑体" w:eastAsia="黑体"/>
          <w:b/>
          <w:bCs/>
          <w:color w:val="000000" w:themeColor="text1"/>
          <w:sz w:val="28"/>
          <w:szCs w:val="28"/>
          <w:lang w:val="en-US" w:eastAsia="zh-CN"/>
          <w14:textFill>
            <w14:solidFill>
              <w14:schemeClr w14:val="tx1"/>
            </w14:solidFill>
          </w14:textFill>
        </w:rPr>
      </w:pPr>
      <w:bookmarkStart w:id="51" w:name="_Toc21135"/>
      <w:bookmarkStart w:id="52" w:name="_Toc27497"/>
      <w:r>
        <w:rPr>
          <w:rFonts w:hint="eastAsia" w:ascii="黑体" w:hAnsi="黑体" w:eastAsia="黑体"/>
          <w:b/>
          <w:bCs/>
          <w:color w:val="000000" w:themeColor="text1"/>
          <w:sz w:val="28"/>
          <w:szCs w:val="28"/>
          <w:lang w:val="en-US" w:eastAsia="zh-CN"/>
          <w14:textFill>
            <w14:solidFill>
              <w14:schemeClr w14:val="tx1"/>
            </w14:solidFill>
          </w14:textFill>
        </w:rPr>
        <w:t>四</w:t>
      </w:r>
      <w:r>
        <w:rPr>
          <w:rFonts w:hint="eastAsia" w:ascii="黑体" w:hAnsi="黑体" w:eastAsia="黑体"/>
          <w:b/>
          <w:bCs/>
          <w:color w:val="000000" w:themeColor="text1"/>
          <w:sz w:val="28"/>
          <w:szCs w:val="28"/>
          <w14:textFill>
            <w14:solidFill>
              <w14:schemeClr w14:val="tx1"/>
            </w14:solidFill>
          </w14:textFill>
        </w:rPr>
        <w:t>、</w:t>
      </w:r>
      <w:r>
        <w:rPr>
          <w:rFonts w:hint="eastAsia" w:ascii="黑体" w:hAnsi="黑体" w:eastAsia="黑体"/>
          <w:b/>
          <w:bCs/>
          <w:color w:val="000000" w:themeColor="text1"/>
          <w:sz w:val="28"/>
          <w:szCs w:val="28"/>
          <w:lang w:val="en-US" w:eastAsia="zh-CN"/>
          <w14:textFill>
            <w14:solidFill>
              <w14:schemeClr w14:val="tx1"/>
            </w14:solidFill>
          </w14:textFill>
        </w:rPr>
        <w:t>风险防范措施</w:t>
      </w:r>
      <w:bookmarkEnd w:id="51"/>
      <w:bookmarkEnd w:id="52"/>
    </w:p>
    <w:p w14:paraId="1D2CD1A3">
      <w:pPr>
        <w:spacing w:line="360" w:lineRule="auto"/>
        <w:ind w:firstLine="560" w:firstLineChars="200"/>
        <w:outlineLvl w:val="1"/>
        <w:rPr>
          <w:rFonts w:hint="eastAsia" w:ascii="黑体" w:hAnsi="黑体" w:eastAsia="黑体" w:cs="黑体"/>
          <w:sz w:val="28"/>
          <w:szCs w:val="28"/>
          <w:lang w:val="en-US" w:eastAsia="zh-CN"/>
        </w:rPr>
      </w:pPr>
      <w:bookmarkStart w:id="53" w:name="_Toc17112"/>
      <w:bookmarkStart w:id="54" w:name="_Toc28263"/>
      <w:r>
        <w:rPr>
          <w:rFonts w:hint="eastAsia" w:ascii="黑体" w:hAnsi="黑体" w:eastAsia="黑体" w:cs="黑体"/>
          <w:sz w:val="28"/>
          <w:szCs w:val="28"/>
          <w:lang w:val="en-US" w:eastAsia="zh-CN"/>
        </w:rPr>
        <w:t>（一）加强与国家、自治区相关法规研究和衔接</w:t>
      </w:r>
      <w:bookmarkEnd w:id="53"/>
      <w:bookmarkEnd w:id="54"/>
      <w:r>
        <w:rPr>
          <w:rFonts w:hint="eastAsia" w:ascii="黑体" w:hAnsi="黑体" w:eastAsia="黑体" w:cs="黑体"/>
          <w:sz w:val="28"/>
          <w:szCs w:val="28"/>
          <w:lang w:val="en-US" w:eastAsia="zh-CN"/>
        </w:rPr>
        <w:t xml:space="preserve"> </w:t>
      </w:r>
    </w:p>
    <w:p w14:paraId="330421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及时跟踪国家、自治区有关国土空间规划的法规条例、理论研究和技术指引的更新，认真研究领会，根据有关法规和条例的最新要求，在下层次规划中予以落实，确保国土空间有序开发、合理保护。 </w:t>
      </w:r>
    </w:p>
    <w:p w14:paraId="323B6860">
      <w:pPr>
        <w:spacing w:line="360" w:lineRule="auto"/>
        <w:ind w:firstLine="560" w:firstLineChars="200"/>
        <w:outlineLvl w:val="1"/>
        <w:rPr>
          <w:rFonts w:hint="eastAsia" w:ascii="黑体" w:hAnsi="黑体" w:eastAsia="黑体" w:cs="黑体"/>
          <w:sz w:val="28"/>
          <w:szCs w:val="28"/>
          <w:lang w:val="en-US" w:eastAsia="zh-CN"/>
        </w:rPr>
      </w:pPr>
      <w:bookmarkStart w:id="55" w:name="_Toc8274"/>
      <w:bookmarkStart w:id="56" w:name="_Toc21221"/>
      <w:r>
        <w:rPr>
          <w:rFonts w:hint="eastAsia" w:ascii="黑体" w:hAnsi="黑体" w:eastAsia="黑体" w:cs="黑体"/>
          <w:sz w:val="28"/>
          <w:szCs w:val="28"/>
          <w:lang w:val="en-US" w:eastAsia="zh-CN"/>
        </w:rPr>
        <w:t>（二）加强县乡协同上下联动机制</w:t>
      </w:r>
      <w:bookmarkEnd w:id="55"/>
      <w:bookmarkEnd w:id="56"/>
      <w:r>
        <w:rPr>
          <w:rFonts w:hint="eastAsia" w:ascii="黑体" w:hAnsi="黑体" w:eastAsia="黑体" w:cs="黑体"/>
          <w:sz w:val="28"/>
          <w:szCs w:val="28"/>
          <w:lang w:val="en-US" w:eastAsia="zh-CN"/>
        </w:rPr>
        <w:t xml:space="preserve"> </w:t>
      </w:r>
    </w:p>
    <w:p w14:paraId="117734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强化县乡协调，建立常态化的协调机制和制度。在产业政策的引导、区域内空间要素的配置、自然资源的开发利用、重大基础设施建设等诸多关系的宏观调控方面，引导规划强制性指标的落地与实施。</w:t>
      </w:r>
    </w:p>
    <w:p w14:paraId="23F6F172">
      <w:pPr>
        <w:spacing w:line="360" w:lineRule="auto"/>
        <w:ind w:firstLine="560" w:firstLineChars="200"/>
        <w:outlineLvl w:val="1"/>
        <w:rPr>
          <w:rFonts w:hint="eastAsia" w:ascii="黑体" w:hAnsi="黑体" w:eastAsia="黑体" w:cs="黑体"/>
          <w:sz w:val="28"/>
          <w:szCs w:val="28"/>
          <w:lang w:val="en-US" w:eastAsia="zh-CN"/>
        </w:rPr>
      </w:pPr>
      <w:bookmarkStart w:id="57" w:name="_Toc7006"/>
      <w:bookmarkStart w:id="58" w:name="_Toc26987"/>
      <w:r>
        <w:rPr>
          <w:rFonts w:hint="eastAsia" w:ascii="黑体" w:hAnsi="黑体" w:eastAsia="黑体" w:cs="黑体"/>
          <w:sz w:val="28"/>
          <w:szCs w:val="28"/>
          <w:lang w:val="en-US" w:eastAsia="zh-CN"/>
        </w:rPr>
        <w:t>（三）应急处置预案</w:t>
      </w:r>
      <w:bookmarkEnd w:id="57"/>
      <w:bookmarkEnd w:id="58"/>
      <w:r>
        <w:rPr>
          <w:rFonts w:hint="eastAsia" w:ascii="黑体" w:hAnsi="黑体" w:eastAsia="黑体" w:cs="黑体"/>
          <w:sz w:val="28"/>
          <w:szCs w:val="28"/>
          <w:lang w:val="en-US" w:eastAsia="zh-CN"/>
        </w:rPr>
        <w:t xml:space="preserve"> </w:t>
      </w:r>
    </w:p>
    <w:p w14:paraId="754C52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在全面落实风险防范和化解措施的同时，构建风险管理联动机制、加强防范预警及动态监管。 </w:t>
      </w:r>
    </w:p>
    <w:p w14:paraId="6F330B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坚持维护策勒县国土空间规划委员会在风险管理中的主导地位，建立以各成员部门共同参与的风险管理联动机制，各部门根据自身职能权限，定期排查、调处、化解不稳定因素，及时发现和掌握容易引起群体性事件的苗头性、倾向性问题。要严格落实责任，做到及时、全面、有效地把不稳定因素消除在萌芽阶段。要充分关注利益相关方反映强烈的问题，认真听取各方的意见，按照法律法规研究解决利益相关方反映的问题。对发现的不稳定因素及时进行规律分析，研究处置对策，制定相应的处置方案，做到防患于未然，集中力量严防涉稳重大事件的发生。 </w:t>
      </w:r>
    </w:p>
    <w:p w14:paraId="44C67F7F">
      <w:pPr>
        <w:pStyle w:val="2"/>
        <w:spacing w:before="0" w:after="0"/>
        <w:rPr>
          <w:rFonts w:hint="default" w:ascii="黑体" w:hAnsi="黑体" w:eastAsia="黑体"/>
          <w:b/>
          <w:bCs/>
          <w:color w:val="000000" w:themeColor="text1"/>
          <w:sz w:val="28"/>
          <w:szCs w:val="28"/>
          <w:lang w:val="en-US" w:eastAsia="zh-CN"/>
          <w14:textFill>
            <w14:solidFill>
              <w14:schemeClr w14:val="tx1"/>
            </w14:solidFill>
          </w14:textFill>
        </w:rPr>
      </w:pPr>
      <w:bookmarkStart w:id="59" w:name="_Toc25862"/>
      <w:bookmarkStart w:id="60" w:name="_Toc25602"/>
      <w:r>
        <w:rPr>
          <w:rFonts w:hint="eastAsia" w:ascii="黑体" w:hAnsi="黑体" w:eastAsia="黑体"/>
          <w:b/>
          <w:bCs/>
          <w:color w:val="000000" w:themeColor="text1"/>
          <w:sz w:val="28"/>
          <w:szCs w:val="28"/>
          <w:lang w:val="en-US" w:eastAsia="zh-CN"/>
          <w14:textFill>
            <w14:solidFill>
              <w14:schemeClr w14:val="tx1"/>
            </w14:solidFill>
          </w14:textFill>
        </w:rPr>
        <w:t>五</w:t>
      </w:r>
      <w:r>
        <w:rPr>
          <w:rFonts w:hint="eastAsia" w:ascii="黑体" w:hAnsi="黑体" w:eastAsia="黑体"/>
          <w:b/>
          <w:bCs/>
          <w:color w:val="000000" w:themeColor="text1"/>
          <w:sz w:val="28"/>
          <w:szCs w:val="28"/>
          <w14:textFill>
            <w14:solidFill>
              <w14:schemeClr w14:val="tx1"/>
            </w14:solidFill>
          </w14:textFill>
        </w:rPr>
        <w:t>、</w:t>
      </w:r>
      <w:r>
        <w:rPr>
          <w:rFonts w:hint="eastAsia" w:ascii="黑体" w:hAnsi="黑体" w:eastAsia="黑体"/>
          <w:b/>
          <w:bCs/>
          <w:color w:val="000000" w:themeColor="text1"/>
          <w:sz w:val="28"/>
          <w:szCs w:val="28"/>
          <w:lang w:val="en-US" w:eastAsia="zh-CN"/>
          <w14:textFill>
            <w14:solidFill>
              <w14:schemeClr w14:val="tx1"/>
            </w14:solidFill>
          </w14:textFill>
        </w:rPr>
        <w:t>风险评估结论</w:t>
      </w:r>
      <w:bookmarkEnd w:id="59"/>
      <w:bookmarkEnd w:id="60"/>
    </w:p>
    <w:p w14:paraId="54AFD1EB">
      <w:pPr>
        <w:spacing w:line="360" w:lineRule="auto"/>
        <w:ind w:firstLine="560" w:firstLineChars="200"/>
        <w:outlineLvl w:val="1"/>
        <w:rPr>
          <w:rFonts w:hint="eastAsia" w:ascii="黑体" w:hAnsi="黑体" w:eastAsia="黑体" w:cs="黑体"/>
          <w:sz w:val="28"/>
          <w:szCs w:val="28"/>
          <w:lang w:val="en-US" w:eastAsia="zh-CN"/>
        </w:rPr>
      </w:pPr>
      <w:bookmarkStart w:id="61" w:name="_Toc14338"/>
      <w:bookmarkStart w:id="62" w:name="_Toc23367"/>
      <w:r>
        <w:rPr>
          <w:rFonts w:hint="eastAsia" w:ascii="黑体" w:hAnsi="黑体" w:eastAsia="黑体" w:cs="黑体"/>
          <w:sz w:val="28"/>
          <w:szCs w:val="28"/>
          <w:lang w:val="en-US" w:eastAsia="zh-CN"/>
        </w:rPr>
        <w:t>（一）主要风险因素</w:t>
      </w:r>
      <w:bookmarkEnd w:id="61"/>
      <w:bookmarkEnd w:id="62"/>
      <w:r>
        <w:rPr>
          <w:rFonts w:hint="eastAsia" w:ascii="黑体" w:hAnsi="黑体" w:eastAsia="黑体" w:cs="黑体"/>
          <w:sz w:val="28"/>
          <w:szCs w:val="28"/>
          <w:lang w:val="en-US" w:eastAsia="zh-CN"/>
        </w:rPr>
        <w:t xml:space="preserve"> </w:t>
      </w:r>
    </w:p>
    <w:p w14:paraId="6CBC7E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采用文献研究、民意调查、相关部门意见征询、舆情监控、专家咨询等方法，依据《新疆维吾尔自治区重大行政决策程序规定》，结合本规划实际，从合法性、合理性、可行性、可控性、社会稳定风险、公共安全风险、生态环境风险、财政金融风险、舆情风险等九个方面制定风险指标体系，共涉及17项具体风险因素。 </w:t>
      </w:r>
    </w:p>
    <w:p w14:paraId="06D941CF">
      <w:pPr>
        <w:spacing w:line="360" w:lineRule="auto"/>
        <w:ind w:firstLine="560" w:firstLineChars="200"/>
        <w:outlineLvl w:val="1"/>
        <w:rPr>
          <w:rFonts w:hint="eastAsia" w:ascii="黑体" w:hAnsi="黑体" w:eastAsia="黑体" w:cs="黑体"/>
          <w:sz w:val="28"/>
          <w:szCs w:val="28"/>
          <w:lang w:val="en-US" w:eastAsia="zh-CN"/>
        </w:rPr>
      </w:pPr>
      <w:bookmarkStart w:id="63" w:name="_Toc17996"/>
      <w:bookmarkStart w:id="64" w:name="_Toc9125"/>
      <w:r>
        <w:rPr>
          <w:rFonts w:hint="eastAsia" w:ascii="黑体" w:hAnsi="黑体" w:eastAsia="黑体" w:cs="黑体"/>
          <w:sz w:val="28"/>
          <w:szCs w:val="28"/>
          <w:lang w:val="en-US" w:eastAsia="zh-CN"/>
        </w:rPr>
        <w:t>（二）初步风险评估</w:t>
      </w:r>
      <w:bookmarkEnd w:id="63"/>
      <w:bookmarkEnd w:id="64"/>
      <w:r>
        <w:rPr>
          <w:rFonts w:hint="eastAsia" w:ascii="黑体" w:hAnsi="黑体" w:eastAsia="黑体" w:cs="黑体"/>
          <w:sz w:val="28"/>
          <w:szCs w:val="28"/>
          <w:lang w:val="en-US" w:eastAsia="zh-CN"/>
        </w:rPr>
        <w:t xml:space="preserve"> </w:t>
      </w:r>
    </w:p>
    <w:p w14:paraId="511D6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根据《新疆维吾尔自治区重大行政决策程序规定》风险等级划分情况，对本规划实施的主要风险因素进行初步判断，初步判断规划在未采取风险处置措施前，风险等级为低风险。</w:t>
      </w:r>
    </w:p>
    <w:p w14:paraId="52631294">
      <w:pPr>
        <w:spacing w:line="360" w:lineRule="auto"/>
        <w:ind w:firstLine="560" w:firstLineChars="200"/>
        <w:outlineLvl w:val="1"/>
        <w:rPr>
          <w:rFonts w:hint="eastAsia" w:ascii="黑体" w:hAnsi="黑体" w:eastAsia="黑体" w:cs="黑体"/>
          <w:sz w:val="28"/>
          <w:szCs w:val="28"/>
          <w:lang w:val="en-US" w:eastAsia="zh-CN"/>
        </w:rPr>
      </w:pPr>
      <w:bookmarkStart w:id="65" w:name="_Toc5537"/>
      <w:bookmarkStart w:id="66" w:name="_Toc16621"/>
      <w:r>
        <w:rPr>
          <w:rFonts w:hint="eastAsia" w:ascii="黑体" w:hAnsi="黑体" w:eastAsia="黑体" w:cs="黑体"/>
          <w:sz w:val="28"/>
          <w:szCs w:val="28"/>
          <w:lang w:val="en-US" w:eastAsia="zh-CN"/>
        </w:rPr>
        <w:t>（三）风险防范措施和处置预案</w:t>
      </w:r>
      <w:bookmarkEnd w:id="65"/>
      <w:bookmarkEnd w:id="66"/>
      <w:r>
        <w:rPr>
          <w:rFonts w:hint="eastAsia" w:ascii="黑体" w:hAnsi="黑体" w:eastAsia="黑体" w:cs="黑体"/>
          <w:sz w:val="28"/>
          <w:szCs w:val="28"/>
          <w:lang w:val="en-US" w:eastAsia="zh-CN"/>
        </w:rPr>
        <w:t xml:space="preserve"> </w:t>
      </w:r>
    </w:p>
    <w:p w14:paraId="2CC06A22">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依据</w:t>
      </w:r>
      <w:r>
        <w:rPr>
          <w:rFonts w:hint="eastAsia" w:ascii="仿宋_GB2312" w:eastAsia="仿宋_GB2312"/>
          <w:sz w:val="32"/>
          <w:szCs w:val="32"/>
          <w:lang w:val="en-US" w:eastAsia="zh-CN"/>
        </w:rPr>
        <w:t>《新疆维吾尔自治区重大行政决策程序规定》</w:t>
      </w:r>
      <w:r>
        <w:rPr>
          <w:rFonts w:hint="eastAsia" w:ascii="仿宋_GB2312" w:eastAsia="仿宋_GB2312"/>
          <w:sz w:val="32"/>
          <w:szCs w:val="32"/>
        </w:rPr>
        <w:t>，风险评估应提出相应的风险防范、减缓或者化解措施。《规划》各项风险因素风险指数较小，因此应研究制定全面、详细的防范措施，尽可能避免《规划》实施可能造成的风险。</w:t>
      </w:r>
    </w:p>
    <w:p w14:paraId="3DF58D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应严格执行国家、自治区、地区及</w:t>
      </w:r>
      <w:r>
        <w:rPr>
          <w:rFonts w:hint="eastAsia" w:ascii="仿宋_GB2312" w:eastAsia="仿宋_GB2312"/>
          <w:sz w:val="32"/>
          <w:szCs w:val="32"/>
          <w:lang w:val="en-US" w:eastAsia="zh-CN"/>
        </w:rPr>
        <w:t>县</w:t>
      </w:r>
      <w:r>
        <w:rPr>
          <w:rFonts w:hint="eastAsia" w:ascii="仿宋_GB2312" w:eastAsia="仿宋_GB2312"/>
          <w:sz w:val="32"/>
          <w:szCs w:val="32"/>
        </w:rPr>
        <w:t>委、</w:t>
      </w:r>
      <w:r>
        <w:rPr>
          <w:rFonts w:hint="eastAsia" w:ascii="仿宋_GB2312" w:eastAsia="仿宋_GB2312"/>
          <w:sz w:val="32"/>
          <w:szCs w:val="32"/>
          <w:lang w:val="en-US" w:eastAsia="zh-CN"/>
        </w:rPr>
        <w:t>县</w:t>
      </w:r>
      <w:r>
        <w:rPr>
          <w:rFonts w:hint="eastAsia" w:ascii="仿宋_GB2312" w:eastAsia="仿宋_GB2312"/>
          <w:sz w:val="32"/>
          <w:szCs w:val="32"/>
        </w:rPr>
        <w:t>政府关于社会稳定风险相关政策、法规及规章制度的相关规定和程序，如国家发展改革委《关于印发国家发展改革委重大固定资产投资项目社会稳定风险评估暂行办法的通知》(发改投资〔2012〕2492号)等文件</w:t>
      </w:r>
      <w:r>
        <w:rPr>
          <w:rFonts w:hint="eastAsia" w:ascii="仿宋_GB2312" w:eastAsia="仿宋_GB2312"/>
          <w:sz w:val="32"/>
          <w:szCs w:val="32"/>
          <w:lang w:eastAsia="zh-CN"/>
        </w:rPr>
        <w:t>。</w:t>
      </w:r>
    </w:p>
    <w:p w14:paraId="43432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加强与国家、自治区相关法规研究和衔接，根据有关法规和条例的最新要求，在下层次规划中予以落实，确保国土空间有序开发、合理保护。加强县乡协同、上下联动机制，引导规划强制性指标的落地与实施。</w:t>
      </w:r>
    </w:p>
    <w:p w14:paraId="4474A1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全面落实风险防范和化解措施的同时，需构建风险管理联动机制、加强防范预警及动态监管。各部门根据自身职能权限，定期排查、调处、化解不稳定因素，及时发现和掌握容易引起群体性事件的苗头性、倾向性问题，做到及时、全面、有效地把不稳定因素消除在萌芽阶段。</w:t>
      </w:r>
      <w:r>
        <w:rPr>
          <w:rFonts w:hint="eastAsia" w:ascii="仿宋_GB2312" w:eastAsia="仿宋_GB2312"/>
          <w:sz w:val="32"/>
          <w:szCs w:val="32"/>
        </w:rPr>
        <w:t>《规划》推进实施过程中，应充分考虑利益相关者自身诉求和切身利益，通过座谈会、听证会、问卷调查、公示等多种方式广泛听取意见，并制定切实可行的保障措施。</w:t>
      </w:r>
    </w:p>
    <w:p w14:paraId="53374D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涉及土地、房屋征收征用的事项，建设单位及当地政府应根据相关征收补偿规定、同类或可比项目征收补偿情况综合考虑、合理确定征收标准</w:t>
      </w:r>
      <w:r>
        <w:rPr>
          <w:rFonts w:hint="eastAsia" w:ascii="仿宋_GB2312" w:eastAsia="仿宋_GB2312"/>
          <w:sz w:val="32"/>
          <w:szCs w:val="32"/>
          <w:lang w:eastAsia="zh-CN"/>
        </w:rPr>
        <w:t>；</w:t>
      </w:r>
      <w:r>
        <w:rPr>
          <w:rFonts w:hint="eastAsia" w:ascii="仿宋_GB2312" w:eastAsia="仿宋_GB2312"/>
          <w:sz w:val="32"/>
          <w:szCs w:val="32"/>
        </w:rPr>
        <w:t>依据相关法律、法规和政策规定的程序，制定切实可行的征收补偿方案，依法合规推进征收补偿工作。</w:t>
      </w:r>
    </w:p>
    <w:p w14:paraId="23E5825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lang w:val="en-US" w:eastAsia="zh-CN"/>
        </w:rPr>
      </w:pPr>
    </w:p>
    <w:p w14:paraId="5D0AFA20">
      <w:pPr>
        <w:spacing w:line="360" w:lineRule="auto"/>
        <w:ind w:firstLine="560" w:firstLineChars="200"/>
        <w:rPr>
          <w:rFonts w:hint="eastAsia" w:ascii="仿宋_GB2312" w:eastAsia="仿宋_GB2312"/>
          <w:sz w:val="28"/>
          <w:szCs w:val="28"/>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798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9212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F9212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DB"/>
    <w:rsid w:val="003721B6"/>
    <w:rsid w:val="00411132"/>
    <w:rsid w:val="004C7460"/>
    <w:rsid w:val="00A548DB"/>
    <w:rsid w:val="00AA1A68"/>
    <w:rsid w:val="00B941E0"/>
    <w:rsid w:val="00CB2DB9"/>
    <w:rsid w:val="00D273E8"/>
    <w:rsid w:val="00E30C9B"/>
    <w:rsid w:val="00E75C13"/>
    <w:rsid w:val="00E93CC4"/>
    <w:rsid w:val="06E246D7"/>
    <w:rsid w:val="0AFE2279"/>
    <w:rsid w:val="0DAA76E7"/>
    <w:rsid w:val="11FC4DDC"/>
    <w:rsid w:val="19351519"/>
    <w:rsid w:val="2AE61748"/>
    <w:rsid w:val="2B9429E1"/>
    <w:rsid w:val="2D76092E"/>
    <w:rsid w:val="30056AC7"/>
    <w:rsid w:val="35060130"/>
    <w:rsid w:val="3E25738F"/>
    <w:rsid w:val="40BA692C"/>
    <w:rsid w:val="434877D8"/>
    <w:rsid w:val="47F122A7"/>
    <w:rsid w:val="4BD209B3"/>
    <w:rsid w:val="4F385B48"/>
    <w:rsid w:val="515777ED"/>
    <w:rsid w:val="5B8B6C26"/>
    <w:rsid w:val="5C3574CB"/>
    <w:rsid w:val="5D2C1D77"/>
    <w:rsid w:val="5F164C85"/>
    <w:rsid w:val="60183A86"/>
    <w:rsid w:val="60756457"/>
    <w:rsid w:val="62E51FE9"/>
    <w:rsid w:val="645600C6"/>
    <w:rsid w:val="6BC64BE6"/>
    <w:rsid w:val="758D3DC5"/>
    <w:rsid w:val="78926BAA"/>
    <w:rsid w:val="7DEF64CB"/>
    <w:rsid w:val="7EF8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pPr>
      <w:jc w:val="left"/>
    </w:pPr>
  </w:style>
  <w:style w:type="paragraph" w:styleId="12">
    <w:name w:val="toc 3"/>
    <w:basedOn w:val="1"/>
    <w:next w:val="1"/>
    <w:semiHidden/>
    <w:unhideWhenUsed/>
    <w:qFormat/>
    <w:uiPriority w:val="39"/>
    <w:pPr>
      <w:ind w:left="840" w:leftChars="400"/>
    </w:pPr>
  </w:style>
  <w:style w:type="paragraph" w:styleId="13">
    <w:name w:val="footer"/>
    <w:basedOn w:val="1"/>
    <w:semiHidden/>
    <w:unhideWhenUsed/>
    <w:qFormat/>
    <w:uiPriority w:val="99"/>
    <w:pPr>
      <w:tabs>
        <w:tab w:val="center" w:pos="4153"/>
        <w:tab w:val="right" w:pos="8306"/>
      </w:tabs>
      <w:snapToGrid w:val="0"/>
      <w:jc w:val="left"/>
    </w:pPr>
    <w:rPr>
      <w:sz w:val="18"/>
    </w:rPr>
  </w:style>
  <w:style w:type="paragraph" w:styleId="1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semiHidden/>
    <w:unhideWhenUsed/>
    <w:qFormat/>
    <w:uiPriority w:val="39"/>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43"/>
    <w:semiHidden/>
    <w:unhideWhenUsed/>
    <w:qFormat/>
    <w:uiPriority w:val="99"/>
    <w:rPr>
      <w:b/>
      <w:bCs/>
    </w:rPr>
  </w:style>
  <w:style w:type="character" w:styleId="23">
    <w:name w:val="annotation reference"/>
    <w:basedOn w:val="22"/>
    <w:semiHidden/>
    <w:unhideWhenUsed/>
    <w:qFormat/>
    <w:uiPriority w:val="99"/>
    <w:rPr>
      <w:sz w:val="21"/>
      <w:szCs w:val="21"/>
    </w:rPr>
  </w:style>
  <w:style w:type="character" w:customStyle="1" w:styleId="24">
    <w:name w:val="标题 1 字符"/>
    <w:basedOn w:val="22"/>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2"/>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2"/>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2"/>
    <w:link w:val="5"/>
    <w:semiHidden/>
    <w:qFormat/>
    <w:uiPriority w:val="9"/>
    <w:rPr>
      <w:rFonts w:cstheme="majorBidi"/>
      <w:color w:val="2F5597" w:themeColor="accent1" w:themeShade="BF"/>
      <w:sz w:val="28"/>
      <w:szCs w:val="28"/>
    </w:rPr>
  </w:style>
  <w:style w:type="character" w:customStyle="1" w:styleId="28">
    <w:name w:val="标题 5 字符"/>
    <w:basedOn w:val="22"/>
    <w:link w:val="6"/>
    <w:semiHidden/>
    <w:qFormat/>
    <w:uiPriority w:val="9"/>
    <w:rPr>
      <w:rFonts w:cstheme="majorBidi"/>
      <w:color w:val="2F5597" w:themeColor="accent1" w:themeShade="BF"/>
      <w:sz w:val="24"/>
      <w:szCs w:val="24"/>
    </w:rPr>
  </w:style>
  <w:style w:type="character" w:customStyle="1" w:styleId="29">
    <w:name w:val="标题 6 字符"/>
    <w:basedOn w:val="22"/>
    <w:link w:val="7"/>
    <w:semiHidden/>
    <w:qFormat/>
    <w:uiPriority w:val="9"/>
    <w:rPr>
      <w:rFonts w:cstheme="majorBidi"/>
      <w:b/>
      <w:bCs/>
      <w:color w:val="2F5597" w:themeColor="accent1" w:themeShade="BF"/>
    </w:rPr>
  </w:style>
  <w:style w:type="character" w:customStyle="1" w:styleId="30">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2"/>
    <w:link w:val="19"/>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2"/>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22"/>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2"/>
    <w:link w:val="39"/>
    <w:qFormat/>
    <w:uiPriority w:val="30"/>
    <w:rPr>
      <w:i/>
      <w:iCs/>
      <w:color w:val="2F5597" w:themeColor="accent1" w:themeShade="BF"/>
    </w:rPr>
  </w:style>
  <w:style w:type="character" w:customStyle="1" w:styleId="41">
    <w:name w:val="Intense Reference"/>
    <w:basedOn w:val="22"/>
    <w:qFormat/>
    <w:uiPriority w:val="32"/>
    <w:rPr>
      <w:b/>
      <w:bCs/>
      <w:smallCaps/>
      <w:color w:val="2F5597" w:themeColor="accent1" w:themeShade="BF"/>
      <w:spacing w:val="5"/>
    </w:rPr>
  </w:style>
  <w:style w:type="character" w:customStyle="1" w:styleId="42">
    <w:name w:val="批注文字 字符"/>
    <w:basedOn w:val="22"/>
    <w:link w:val="11"/>
    <w:semiHidden/>
    <w:qFormat/>
    <w:uiPriority w:val="99"/>
  </w:style>
  <w:style w:type="character" w:customStyle="1" w:styleId="43">
    <w:name w:val="批注主题 字符"/>
    <w:basedOn w:val="42"/>
    <w:link w:val="20"/>
    <w:semiHidden/>
    <w:qFormat/>
    <w:uiPriority w:val="99"/>
    <w:rPr>
      <w:b/>
      <w:bCs/>
    </w:rPr>
  </w:style>
  <w:style w:type="character" w:customStyle="1" w:styleId="44">
    <w:name w:val="fontstyle01"/>
    <w:basedOn w:val="22"/>
    <w:qFormat/>
    <w:uiPriority w:val="0"/>
    <w:rPr>
      <w:rFonts w:hint="eastAsia" w:ascii="宋体" w:hAnsi="宋体" w:eastAsia="宋体" w:cs="宋体"/>
      <w:color w:val="000000"/>
      <w:sz w:val="28"/>
      <w:szCs w:val="28"/>
    </w:rPr>
  </w:style>
  <w:style w:type="character" w:customStyle="1" w:styleId="45">
    <w:name w:val="fontstyle11"/>
    <w:basedOn w:val="22"/>
    <w:qFormat/>
    <w:uiPriority w:val="0"/>
    <w:rPr>
      <w:rFonts w:ascii="Calibri" w:hAnsi="Calibri" w:cs="Calibri"/>
      <w:color w:val="000000"/>
      <w:sz w:val="28"/>
      <w:szCs w:val="28"/>
    </w:rPr>
  </w:style>
  <w:style w:type="character" w:customStyle="1" w:styleId="46">
    <w:name w:val="fontstyle21"/>
    <w:basedOn w:val="22"/>
    <w:qFormat/>
    <w:uiPriority w:val="0"/>
    <w:rPr>
      <w:rFonts w:hint="eastAsia"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5519</Words>
  <Characters>5592</Characters>
  <Lines>28</Lines>
  <Paragraphs>7</Paragraphs>
  <TotalTime>13</TotalTime>
  <ScaleCrop>false</ScaleCrop>
  <LinksUpToDate>false</LinksUpToDate>
  <CharactersWithSpaces>5617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2025-03-09T01:42:00Z</dcterms:created>
  <dc:creator>Administrator</dc:creator>
  <cp:lastModifiedBy>Administrator</cp:lastModifiedBy>
  <dcterms:modified xsi:type="dcterms:W3CDTF">2025-11-19T16:56:11Z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eyJoZGlkIjoiZGMxNDM5M2ZjMGJkM2RlYmYzMjM4YTdkY2ZkMDU5YzMiLCJ1c2VySWQiOiI0MzQzODM1OTUifQ==</vt:lpwstr>
  </property>
  <property fmtid="{D5CDD505-2E9C-101B-9397-08002B2CF9AE}" pid="3" name="KSOProductBuildVer">
    <vt:lpwstr>2052-12.8.2.18205</vt:lpwstr>
  </property>
  <property fmtid="{D5CDD505-2E9C-101B-9397-08002B2CF9AE}" pid="4" name="ICV">
    <vt:lpwstr>6B65F2B9DC07416085AFDA4AAC0C1491_13</vt:lpwstr>
  </property>
  <property fmtid="{D5CDD505-2E9C-101B-9397-08002B2CF9AE}" pid="5" name="AddonDpDocId">
    <vt:lpwstr>c5607913-5bf9-4315-bf92-9d4de332b183</vt:lpwstr>
  </property>
</Properties>
</file>