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00" w:lineRule="exact"/>
        <w:jc w:val="center"/>
        <w:rPr>
          <w:rFonts w:ascii="Times New Roman" w:hAnsi="Times New Roman" w:eastAsia="仿宋_GB2312" w:cs="Times New Roman"/>
          <w:sz w:val="44"/>
          <w:szCs w:val="44"/>
        </w:rPr>
      </w:pPr>
    </w:p>
    <w:p>
      <w:pPr>
        <w:spacing w:before="312" w:beforeLines="100" w:after="312" w:afterLines="100" w:line="360" w:lineRule="auto"/>
        <w:jc w:val="center"/>
        <w:rPr>
          <w:rFonts w:ascii="Times New Roman" w:hAnsi="Times New Roman" w:eastAsia="仿宋_GB2312" w:cs="Times New Roman"/>
          <w:sz w:val="44"/>
          <w:szCs w:val="44"/>
        </w:rPr>
      </w:pPr>
    </w:p>
    <w:p>
      <w:pPr>
        <w:autoSpaceDE w:val="0"/>
        <w:autoSpaceDN w:val="0"/>
        <w:adjustRightInd w:val="0"/>
        <w:spacing w:before="312" w:beforeLines="100" w:after="312" w:afterLines="100" w:line="600" w:lineRule="exact"/>
        <w:jc w:val="center"/>
        <w:rPr>
          <w:rFonts w:ascii="Times New Roman" w:hAnsi="Times New Roman" w:eastAsia="方正小标宋简体" w:cs="Times New Roman"/>
          <w:b/>
          <w:bCs/>
          <w:spacing w:val="80"/>
          <w:sz w:val="48"/>
          <w:szCs w:val="48"/>
        </w:rPr>
      </w:pPr>
      <w:r>
        <w:rPr>
          <w:rFonts w:hint="eastAsia" w:ascii="Times New Roman" w:hAnsi="Times New Roman" w:eastAsia="方正小标宋简体" w:cs="Times New Roman"/>
          <w:b/>
          <w:bCs/>
          <w:spacing w:val="80"/>
          <w:sz w:val="48"/>
          <w:szCs w:val="48"/>
        </w:rPr>
        <w:t>策勒县</w:t>
      </w:r>
      <w:r>
        <w:rPr>
          <w:rFonts w:ascii="Times New Roman" w:hAnsi="Times New Roman" w:eastAsia="方正小标宋简体" w:cs="Times New Roman"/>
          <w:b/>
          <w:bCs/>
          <w:spacing w:val="80"/>
          <w:sz w:val="48"/>
          <w:szCs w:val="48"/>
        </w:rPr>
        <w:t>水功能区划</w:t>
      </w:r>
    </w:p>
    <w:p>
      <w:pPr>
        <w:pStyle w:val="2"/>
        <w:ind w:left="0" w:leftChars="0" w:firstLine="2600" w:firstLineChars="500"/>
        <w:jc w:val="both"/>
        <w:rPr>
          <w:rFonts w:hint="default"/>
          <w:lang w:val="en-US" w:eastAsia="zh-CN"/>
        </w:rPr>
      </w:pPr>
      <w:r>
        <w:rPr>
          <w:rFonts w:hint="eastAsia" w:ascii="黑体" w:hAnsi="黑体" w:eastAsia="黑体" w:cs="黑体"/>
          <w:color w:val="auto"/>
          <w:sz w:val="52"/>
          <w:szCs w:val="52"/>
          <w:lang w:val="en-US" w:eastAsia="zh-CN"/>
        </w:rPr>
        <w:t>(征求意见稿)</w:t>
      </w:r>
    </w:p>
    <w:p>
      <w:pPr>
        <w:autoSpaceDE w:val="0"/>
        <w:autoSpaceDN w:val="0"/>
        <w:adjustRightInd w:val="0"/>
        <w:spacing w:before="312" w:beforeLines="100" w:after="312" w:afterLines="100" w:line="600" w:lineRule="exact"/>
        <w:jc w:val="center"/>
        <w:rPr>
          <w:rFonts w:ascii="Times New Roman" w:hAnsi="Times New Roman" w:eastAsia="方正小标宋简体" w:cs="Times New Roman"/>
          <w:b/>
          <w:bCs/>
          <w:spacing w:val="80"/>
          <w:sz w:val="48"/>
          <w:szCs w:val="48"/>
        </w:rPr>
      </w:pPr>
    </w:p>
    <w:p>
      <w:pPr>
        <w:spacing w:line="600" w:lineRule="exact"/>
        <w:jc w:val="center"/>
        <w:rPr>
          <w:rFonts w:ascii="Times New Roman" w:hAnsi="Times New Roman" w:eastAsia="仿宋_GB2312" w:cs="Times New Roman"/>
          <w:sz w:val="44"/>
          <w:szCs w:val="44"/>
        </w:rPr>
      </w:pPr>
    </w:p>
    <w:p>
      <w:pPr>
        <w:spacing w:line="600" w:lineRule="exact"/>
        <w:jc w:val="center"/>
        <w:rPr>
          <w:rFonts w:ascii="Times New Roman" w:hAnsi="Times New Roman" w:eastAsia="仿宋_GB2312" w:cs="Times New Roman"/>
          <w:sz w:val="44"/>
          <w:szCs w:val="44"/>
        </w:rPr>
      </w:pPr>
    </w:p>
    <w:p>
      <w:pPr>
        <w:spacing w:line="600" w:lineRule="exact"/>
        <w:jc w:val="center"/>
        <w:rPr>
          <w:rFonts w:ascii="Times New Roman" w:hAnsi="Times New Roman" w:eastAsia="仿宋_GB2312" w:cs="Times New Roman"/>
          <w:sz w:val="44"/>
          <w:szCs w:val="44"/>
        </w:rPr>
      </w:pPr>
    </w:p>
    <w:p>
      <w:pPr>
        <w:spacing w:line="600" w:lineRule="exact"/>
        <w:jc w:val="center"/>
        <w:rPr>
          <w:rFonts w:ascii="Times New Roman" w:hAnsi="Times New Roman" w:eastAsia="仿宋_GB2312" w:cs="Times New Roman"/>
          <w:sz w:val="44"/>
          <w:szCs w:val="44"/>
        </w:rPr>
      </w:pPr>
    </w:p>
    <w:p>
      <w:pPr>
        <w:spacing w:line="600" w:lineRule="exact"/>
        <w:jc w:val="center"/>
        <w:rPr>
          <w:rFonts w:ascii="Times New Roman" w:hAnsi="Times New Roman" w:eastAsia="仿宋_GB2312" w:cs="Times New Roman"/>
          <w:sz w:val="44"/>
          <w:szCs w:val="44"/>
        </w:rPr>
      </w:pPr>
    </w:p>
    <w:p>
      <w:pPr>
        <w:spacing w:line="600" w:lineRule="exact"/>
        <w:jc w:val="center"/>
        <w:rPr>
          <w:rFonts w:ascii="Times New Roman" w:hAnsi="Times New Roman" w:eastAsia="仿宋_GB2312" w:cs="Times New Roman"/>
          <w:sz w:val="44"/>
          <w:szCs w:val="44"/>
        </w:rPr>
      </w:pPr>
    </w:p>
    <w:p>
      <w:pPr>
        <w:spacing w:line="600" w:lineRule="exact"/>
        <w:jc w:val="center"/>
        <w:rPr>
          <w:rFonts w:ascii="Times New Roman" w:hAnsi="Times New Roman" w:eastAsia="仿宋_GB2312" w:cs="Times New Roman"/>
          <w:sz w:val="44"/>
          <w:szCs w:val="44"/>
        </w:rPr>
      </w:pPr>
    </w:p>
    <w:p>
      <w:pPr>
        <w:spacing w:line="600" w:lineRule="exact"/>
        <w:jc w:val="center"/>
        <w:rPr>
          <w:rFonts w:ascii="Times New Roman" w:hAnsi="Times New Roman" w:eastAsia="仿宋_GB2312" w:cs="Times New Roman"/>
          <w:sz w:val="44"/>
          <w:szCs w:val="44"/>
        </w:rPr>
      </w:pPr>
    </w:p>
    <w:p>
      <w:pPr>
        <w:spacing w:line="600" w:lineRule="exact"/>
        <w:jc w:val="center"/>
        <w:rPr>
          <w:rFonts w:ascii="Times New Roman" w:hAnsi="Times New Roman" w:eastAsia="仿宋_GB2312" w:cs="Times New Roman"/>
          <w:sz w:val="44"/>
          <w:szCs w:val="44"/>
        </w:rPr>
      </w:pPr>
    </w:p>
    <w:p>
      <w:pPr>
        <w:spacing w:line="600" w:lineRule="exact"/>
        <w:jc w:val="center"/>
        <w:rPr>
          <w:rFonts w:ascii="Times New Roman" w:hAnsi="Times New Roman" w:eastAsia="仿宋_GB2312" w:cs="Times New Roman"/>
          <w:sz w:val="44"/>
          <w:szCs w:val="44"/>
        </w:rPr>
      </w:pPr>
    </w:p>
    <w:p>
      <w:pPr>
        <w:spacing w:line="600" w:lineRule="exact"/>
        <w:jc w:val="center"/>
        <w:rPr>
          <w:rFonts w:ascii="Times New Roman" w:hAnsi="Times New Roman" w:eastAsia="仿宋_GB2312" w:cs="Times New Roman"/>
          <w:sz w:val="44"/>
          <w:szCs w:val="44"/>
        </w:rPr>
      </w:pPr>
    </w:p>
    <w:p>
      <w:pPr>
        <w:spacing w:line="840" w:lineRule="exact"/>
        <w:jc w:val="center"/>
        <w:rPr>
          <w:rFonts w:ascii="Times New Roman" w:hAnsi="Times New Roman" w:eastAsia="仿宋_GB2312" w:cs="Times New Roman"/>
          <w:b/>
          <w:sz w:val="32"/>
          <w:szCs w:val="32"/>
        </w:rPr>
      </w:pPr>
    </w:p>
    <w:p>
      <w:pPr>
        <w:spacing w:line="840" w:lineRule="exact"/>
        <w:jc w:val="center"/>
        <w:rPr>
          <w:rFonts w:ascii="楷体" w:hAnsi="楷体" w:eastAsia="楷体" w:cs="Times New Roman"/>
          <w:b/>
          <w:sz w:val="32"/>
          <w:szCs w:val="32"/>
        </w:rPr>
        <w:sectPr>
          <w:footerReference r:id="rId3" w:type="default"/>
          <w:pgSz w:w="11906" w:h="16838"/>
          <w:pgMar w:top="1797" w:right="1446" w:bottom="1418" w:left="1446" w:header="851" w:footer="992" w:gutter="0"/>
          <w:cols w:space="425" w:num="1"/>
          <w:docGrid w:type="lines" w:linePitch="312" w:charSpace="0"/>
        </w:sectPr>
      </w:pPr>
      <w:r>
        <w:rPr>
          <w:rFonts w:hint="eastAsia" w:ascii="楷体" w:hAnsi="楷体" w:eastAsia="楷体" w:cs="Times New Roman"/>
          <w:b/>
          <w:sz w:val="32"/>
          <w:szCs w:val="32"/>
        </w:rPr>
        <w:t>二</w:t>
      </w:r>
      <w:r>
        <w:rPr>
          <w:rFonts w:hint="eastAsia" w:ascii="楷体" w:hAnsi="楷体" w:eastAsia="楷体" w:cs="宋体"/>
          <w:sz w:val="32"/>
          <w:szCs w:val="32"/>
        </w:rPr>
        <w:t>〇</w:t>
      </w:r>
      <w:r>
        <w:rPr>
          <w:rFonts w:hint="eastAsia" w:ascii="楷体" w:hAnsi="楷体" w:eastAsia="楷体" w:cs="Times New Roman"/>
          <w:b/>
          <w:sz w:val="32"/>
          <w:szCs w:val="32"/>
        </w:rPr>
        <w:t>二</w:t>
      </w:r>
      <w:r>
        <w:rPr>
          <w:rFonts w:hint="eastAsia" w:ascii="楷体" w:hAnsi="楷体" w:eastAsia="楷体" w:cs="宋体"/>
          <w:sz w:val="32"/>
          <w:szCs w:val="32"/>
        </w:rPr>
        <w:t>三</w:t>
      </w:r>
      <w:r>
        <w:rPr>
          <w:rFonts w:hint="eastAsia" w:ascii="楷体" w:hAnsi="楷体" w:eastAsia="楷体" w:cs="Times New Roman"/>
          <w:b/>
          <w:sz w:val="32"/>
          <w:szCs w:val="32"/>
        </w:rPr>
        <w:t>年十二月</w:t>
      </w:r>
    </w:p>
    <w:sdt>
      <w:sdtPr>
        <w:rPr>
          <w:rFonts w:asciiTheme="minorHAnsi" w:hAnsiTheme="minorHAnsi" w:eastAsiaTheme="minorEastAsia" w:cstheme="minorBidi"/>
          <w:color w:val="auto"/>
          <w:kern w:val="2"/>
          <w:sz w:val="21"/>
          <w:szCs w:val="22"/>
          <w:lang w:val="zh-CN"/>
        </w:rPr>
        <w:id w:val="-2025325726"/>
        <w:docPartObj>
          <w:docPartGallery w:val="Table of Contents"/>
          <w:docPartUnique/>
        </w:docPartObj>
      </w:sdtPr>
      <w:sdtEndPr>
        <w:rPr>
          <w:rFonts w:ascii="仿宋" w:hAnsi="仿宋" w:eastAsia="仿宋" w:cstheme="minorBidi"/>
          <w:color w:val="auto"/>
          <w:kern w:val="2"/>
          <w:sz w:val="28"/>
          <w:szCs w:val="28"/>
          <w:lang w:val="zh-CN"/>
        </w:rPr>
      </w:sdtEndPr>
      <w:sdtContent>
        <w:p>
          <w:pPr>
            <w:pStyle w:val="48"/>
            <w:jc w:val="center"/>
          </w:pPr>
          <w:r>
            <w:rPr>
              <w:color w:val="auto"/>
              <w:sz w:val="36"/>
              <w:szCs w:val="36"/>
              <w:lang w:val="zh-CN"/>
            </w:rPr>
            <w:t>目</w:t>
          </w:r>
          <w:r>
            <w:rPr>
              <w:rFonts w:hint="eastAsia"/>
              <w:color w:val="auto"/>
              <w:sz w:val="36"/>
              <w:szCs w:val="36"/>
              <w:lang w:val="zh-CN"/>
            </w:rPr>
            <w:t xml:space="preserve"> </w:t>
          </w:r>
          <w:r>
            <w:rPr>
              <w:color w:val="auto"/>
              <w:sz w:val="36"/>
              <w:szCs w:val="36"/>
              <w:lang w:val="zh-CN"/>
            </w:rPr>
            <w:t xml:space="preserve"> 录</w:t>
          </w:r>
        </w:p>
        <w:p>
          <w:pPr>
            <w:pStyle w:val="9"/>
            <w:tabs>
              <w:tab w:val="right" w:leader="dot" w:pos="8296"/>
            </w:tabs>
            <w:rPr>
              <w:rFonts w:ascii="仿宋" w:hAnsi="仿宋" w:eastAsia="仿宋" w:cstheme="minorBidi"/>
              <w:sz w:val="28"/>
              <w:szCs w:val="28"/>
              <w14:ligatures w14:val="standardContextual"/>
            </w:rPr>
          </w:pPr>
          <w:r>
            <w:rPr>
              <w:rFonts w:ascii="仿宋" w:hAnsi="仿宋" w:eastAsia="仿宋"/>
              <w:sz w:val="28"/>
              <w:szCs w:val="28"/>
            </w:rPr>
            <w:fldChar w:fldCharType="begin"/>
          </w:r>
          <w:r>
            <w:rPr>
              <w:rFonts w:ascii="仿宋" w:hAnsi="仿宋" w:eastAsia="仿宋"/>
              <w:sz w:val="28"/>
              <w:szCs w:val="28"/>
            </w:rPr>
            <w:instrText xml:space="preserve"> TOC \o "1-3" \h \z \u </w:instrText>
          </w:r>
          <w:r>
            <w:rPr>
              <w:rFonts w:ascii="仿宋" w:hAnsi="仿宋" w:eastAsia="仿宋"/>
              <w:sz w:val="28"/>
              <w:szCs w:val="28"/>
            </w:rPr>
            <w:fldChar w:fldCharType="separate"/>
          </w:r>
          <w:r>
            <w:fldChar w:fldCharType="begin"/>
          </w:r>
          <w:r>
            <w:instrText xml:space="preserve"> HYPERLINK \l "_Toc153706314" </w:instrText>
          </w:r>
          <w:r>
            <w:fldChar w:fldCharType="separate"/>
          </w:r>
          <w:r>
            <w:rPr>
              <w:rStyle w:val="13"/>
              <w:rFonts w:ascii="仿宋" w:hAnsi="仿宋" w:eastAsia="仿宋"/>
              <w:sz w:val="28"/>
              <w:szCs w:val="28"/>
            </w:rPr>
            <w:t>一、总则</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_Toc153706314 \h </w:instrText>
          </w:r>
          <w:r>
            <w:rPr>
              <w:rFonts w:ascii="仿宋" w:hAnsi="仿宋" w:eastAsia="仿宋"/>
              <w:sz w:val="28"/>
              <w:szCs w:val="28"/>
            </w:rPr>
            <w:fldChar w:fldCharType="separate"/>
          </w:r>
          <w:r>
            <w:rPr>
              <w:rFonts w:ascii="仿宋" w:hAnsi="仿宋" w:eastAsia="仿宋"/>
              <w:sz w:val="28"/>
              <w:szCs w:val="28"/>
            </w:rPr>
            <w:t>1</w:t>
          </w:r>
          <w:r>
            <w:rPr>
              <w:rFonts w:ascii="仿宋" w:hAnsi="仿宋" w:eastAsia="仿宋"/>
              <w:sz w:val="28"/>
              <w:szCs w:val="28"/>
            </w:rPr>
            <w:fldChar w:fldCharType="end"/>
          </w:r>
          <w:r>
            <w:rPr>
              <w:rFonts w:ascii="仿宋" w:hAnsi="仿宋" w:eastAsia="仿宋"/>
              <w:sz w:val="28"/>
              <w:szCs w:val="28"/>
            </w:rPr>
            <w:fldChar w:fldCharType="end"/>
          </w:r>
        </w:p>
        <w:p>
          <w:pPr>
            <w:pStyle w:val="10"/>
            <w:tabs>
              <w:tab w:val="right" w:leader="dot" w:pos="8296"/>
            </w:tabs>
            <w:rPr>
              <w:rFonts w:ascii="仿宋" w:hAnsi="仿宋" w:eastAsia="仿宋" w:cstheme="minorBidi"/>
              <w:sz w:val="28"/>
              <w:szCs w:val="28"/>
              <w14:ligatures w14:val="standardContextual"/>
            </w:rPr>
          </w:pPr>
          <w:r>
            <w:fldChar w:fldCharType="begin"/>
          </w:r>
          <w:r>
            <w:instrText xml:space="preserve"> HYPERLINK \l "_Toc153706315" </w:instrText>
          </w:r>
          <w:r>
            <w:fldChar w:fldCharType="separate"/>
          </w:r>
          <w:r>
            <w:rPr>
              <w:rStyle w:val="13"/>
              <w:rFonts w:ascii="仿宋" w:hAnsi="仿宋" w:eastAsia="仿宋"/>
              <w:sz w:val="28"/>
              <w:szCs w:val="28"/>
            </w:rPr>
            <w:t>（一）目的和意义</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_Toc153706315 \h </w:instrText>
          </w:r>
          <w:r>
            <w:rPr>
              <w:rFonts w:ascii="仿宋" w:hAnsi="仿宋" w:eastAsia="仿宋"/>
              <w:sz w:val="28"/>
              <w:szCs w:val="28"/>
            </w:rPr>
            <w:fldChar w:fldCharType="separate"/>
          </w:r>
          <w:r>
            <w:rPr>
              <w:rFonts w:ascii="仿宋" w:hAnsi="仿宋" w:eastAsia="仿宋"/>
              <w:sz w:val="28"/>
              <w:szCs w:val="28"/>
            </w:rPr>
            <w:t>1</w:t>
          </w:r>
          <w:r>
            <w:rPr>
              <w:rFonts w:ascii="仿宋" w:hAnsi="仿宋" w:eastAsia="仿宋"/>
              <w:sz w:val="28"/>
              <w:szCs w:val="28"/>
            </w:rPr>
            <w:fldChar w:fldCharType="end"/>
          </w:r>
          <w:r>
            <w:rPr>
              <w:rFonts w:ascii="仿宋" w:hAnsi="仿宋" w:eastAsia="仿宋"/>
              <w:sz w:val="28"/>
              <w:szCs w:val="28"/>
            </w:rPr>
            <w:fldChar w:fldCharType="end"/>
          </w:r>
        </w:p>
        <w:p>
          <w:pPr>
            <w:pStyle w:val="10"/>
            <w:tabs>
              <w:tab w:val="right" w:leader="dot" w:pos="8296"/>
            </w:tabs>
            <w:rPr>
              <w:rFonts w:ascii="仿宋" w:hAnsi="仿宋" w:eastAsia="仿宋" w:cstheme="minorBidi"/>
              <w:sz w:val="28"/>
              <w:szCs w:val="28"/>
              <w14:ligatures w14:val="standardContextual"/>
            </w:rPr>
          </w:pPr>
          <w:r>
            <w:fldChar w:fldCharType="begin"/>
          </w:r>
          <w:r>
            <w:instrText xml:space="preserve"> HYPERLINK \l "_Toc153706316" </w:instrText>
          </w:r>
          <w:r>
            <w:fldChar w:fldCharType="separate"/>
          </w:r>
          <w:r>
            <w:rPr>
              <w:rStyle w:val="13"/>
              <w:rFonts w:ascii="仿宋" w:hAnsi="仿宋" w:eastAsia="仿宋"/>
              <w:sz w:val="28"/>
              <w:szCs w:val="28"/>
            </w:rPr>
            <w:t>（二）划分原则</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_Toc153706316 \h </w:instrText>
          </w:r>
          <w:r>
            <w:rPr>
              <w:rFonts w:ascii="仿宋" w:hAnsi="仿宋" w:eastAsia="仿宋"/>
              <w:sz w:val="28"/>
              <w:szCs w:val="28"/>
            </w:rPr>
            <w:fldChar w:fldCharType="separate"/>
          </w:r>
          <w:r>
            <w:rPr>
              <w:rFonts w:ascii="仿宋" w:hAnsi="仿宋" w:eastAsia="仿宋"/>
              <w:sz w:val="28"/>
              <w:szCs w:val="28"/>
            </w:rPr>
            <w:t>2</w:t>
          </w:r>
          <w:r>
            <w:rPr>
              <w:rFonts w:ascii="仿宋" w:hAnsi="仿宋" w:eastAsia="仿宋"/>
              <w:sz w:val="28"/>
              <w:szCs w:val="28"/>
            </w:rPr>
            <w:fldChar w:fldCharType="end"/>
          </w:r>
          <w:r>
            <w:rPr>
              <w:rFonts w:ascii="仿宋" w:hAnsi="仿宋" w:eastAsia="仿宋"/>
              <w:sz w:val="28"/>
              <w:szCs w:val="28"/>
            </w:rPr>
            <w:fldChar w:fldCharType="end"/>
          </w:r>
        </w:p>
        <w:p>
          <w:pPr>
            <w:pStyle w:val="10"/>
            <w:tabs>
              <w:tab w:val="right" w:leader="dot" w:pos="8296"/>
            </w:tabs>
            <w:rPr>
              <w:rFonts w:ascii="仿宋" w:hAnsi="仿宋" w:eastAsia="仿宋" w:cstheme="minorBidi"/>
              <w:sz w:val="28"/>
              <w:szCs w:val="28"/>
              <w14:ligatures w14:val="standardContextual"/>
            </w:rPr>
          </w:pPr>
          <w:r>
            <w:fldChar w:fldCharType="begin"/>
          </w:r>
          <w:r>
            <w:instrText xml:space="preserve"> HYPERLINK \l "_Toc153706317" </w:instrText>
          </w:r>
          <w:r>
            <w:fldChar w:fldCharType="separate"/>
          </w:r>
          <w:r>
            <w:rPr>
              <w:rStyle w:val="13"/>
              <w:rFonts w:ascii="仿宋" w:hAnsi="仿宋" w:eastAsia="仿宋"/>
              <w:sz w:val="28"/>
              <w:szCs w:val="28"/>
            </w:rPr>
            <w:t>（三）编制依据和标准</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_Toc153706317 \h </w:instrText>
          </w:r>
          <w:r>
            <w:rPr>
              <w:rFonts w:ascii="仿宋" w:hAnsi="仿宋" w:eastAsia="仿宋"/>
              <w:sz w:val="28"/>
              <w:szCs w:val="28"/>
            </w:rPr>
            <w:fldChar w:fldCharType="separate"/>
          </w:r>
          <w:r>
            <w:rPr>
              <w:rFonts w:ascii="仿宋" w:hAnsi="仿宋" w:eastAsia="仿宋"/>
              <w:sz w:val="28"/>
              <w:szCs w:val="28"/>
            </w:rPr>
            <w:t>3</w:t>
          </w:r>
          <w:r>
            <w:rPr>
              <w:rFonts w:ascii="仿宋" w:hAnsi="仿宋" w:eastAsia="仿宋"/>
              <w:sz w:val="28"/>
              <w:szCs w:val="28"/>
            </w:rPr>
            <w:fldChar w:fldCharType="end"/>
          </w:r>
          <w:r>
            <w:rPr>
              <w:rFonts w:ascii="仿宋" w:hAnsi="仿宋" w:eastAsia="仿宋"/>
              <w:sz w:val="28"/>
              <w:szCs w:val="28"/>
            </w:rPr>
            <w:fldChar w:fldCharType="end"/>
          </w:r>
        </w:p>
        <w:p>
          <w:pPr>
            <w:pStyle w:val="9"/>
            <w:tabs>
              <w:tab w:val="right" w:leader="dot" w:pos="8296"/>
            </w:tabs>
            <w:rPr>
              <w:rFonts w:ascii="仿宋" w:hAnsi="仿宋" w:eastAsia="仿宋" w:cstheme="minorBidi"/>
              <w:sz w:val="28"/>
              <w:szCs w:val="28"/>
              <w14:ligatures w14:val="standardContextual"/>
            </w:rPr>
          </w:pPr>
          <w:r>
            <w:fldChar w:fldCharType="begin"/>
          </w:r>
          <w:r>
            <w:instrText xml:space="preserve"> HYPERLINK \l "_Toc153706318" </w:instrText>
          </w:r>
          <w:r>
            <w:fldChar w:fldCharType="separate"/>
          </w:r>
          <w:r>
            <w:rPr>
              <w:rStyle w:val="13"/>
              <w:rFonts w:ascii="仿宋" w:hAnsi="仿宋" w:eastAsia="仿宋"/>
              <w:sz w:val="28"/>
              <w:szCs w:val="28"/>
            </w:rPr>
            <w:t>二、区域概况</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_Toc153706318 \h </w:instrText>
          </w:r>
          <w:r>
            <w:rPr>
              <w:rFonts w:ascii="仿宋" w:hAnsi="仿宋" w:eastAsia="仿宋"/>
              <w:sz w:val="28"/>
              <w:szCs w:val="28"/>
            </w:rPr>
            <w:fldChar w:fldCharType="separate"/>
          </w:r>
          <w:r>
            <w:rPr>
              <w:rFonts w:ascii="仿宋" w:hAnsi="仿宋" w:eastAsia="仿宋"/>
              <w:sz w:val="28"/>
              <w:szCs w:val="28"/>
            </w:rPr>
            <w:t>4</w:t>
          </w:r>
          <w:r>
            <w:rPr>
              <w:rFonts w:ascii="仿宋" w:hAnsi="仿宋" w:eastAsia="仿宋"/>
              <w:sz w:val="28"/>
              <w:szCs w:val="28"/>
            </w:rPr>
            <w:fldChar w:fldCharType="end"/>
          </w:r>
          <w:r>
            <w:rPr>
              <w:rFonts w:ascii="仿宋" w:hAnsi="仿宋" w:eastAsia="仿宋"/>
              <w:sz w:val="28"/>
              <w:szCs w:val="28"/>
            </w:rPr>
            <w:fldChar w:fldCharType="end"/>
          </w:r>
        </w:p>
        <w:p>
          <w:pPr>
            <w:pStyle w:val="10"/>
            <w:tabs>
              <w:tab w:val="right" w:leader="dot" w:pos="8296"/>
            </w:tabs>
            <w:rPr>
              <w:rFonts w:ascii="仿宋" w:hAnsi="仿宋" w:eastAsia="仿宋" w:cstheme="minorBidi"/>
              <w:sz w:val="28"/>
              <w:szCs w:val="28"/>
              <w14:ligatures w14:val="standardContextual"/>
            </w:rPr>
          </w:pPr>
          <w:r>
            <w:fldChar w:fldCharType="begin"/>
          </w:r>
          <w:r>
            <w:instrText xml:space="preserve"> HYPERLINK \l "_Toc153706319" </w:instrText>
          </w:r>
          <w:r>
            <w:fldChar w:fldCharType="separate"/>
          </w:r>
          <w:r>
            <w:rPr>
              <w:rStyle w:val="13"/>
              <w:rFonts w:ascii="仿宋" w:hAnsi="仿宋" w:eastAsia="仿宋"/>
              <w:sz w:val="28"/>
              <w:szCs w:val="28"/>
            </w:rPr>
            <w:t>（一）自然环境</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_Toc153706319 \h </w:instrText>
          </w:r>
          <w:r>
            <w:rPr>
              <w:rFonts w:ascii="仿宋" w:hAnsi="仿宋" w:eastAsia="仿宋"/>
              <w:sz w:val="28"/>
              <w:szCs w:val="28"/>
            </w:rPr>
            <w:fldChar w:fldCharType="separate"/>
          </w:r>
          <w:r>
            <w:rPr>
              <w:rFonts w:ascii="仿宋" w:hAnsi="仿宋" w:eastAsia="仿宋"/>
              <w:sz w:val="28"/>
              <w:szCs w:val="28"/>
            </w:rPr>
            <w:t>4</w:t>
          </w:r>
          <w:r>
            <w:rPr>
              <w:rFonts w:ascii="仿宋" w:hAnsi="仿宋" w:eastAsia="仿宋"/>
              <w:sz w:val="28"/>
              <w:szCs w:val="28"/>
            </w:rPr>
            <w:fldChar w:fldCharType="end"/>
          </w:r>
          <w:r>
            <w:rPr>
              <w:rFonts w:ascii="仿宋" w:hAnsi="仿宋" w:eastAsia="仿宋"/>
              <w:sz w:val="28"/>
              <w:szCs w:val="28"/>
            </w:rPr>
            <w:fldChar w:fldCharType="end"/>
          </w:r>
        </w:p>
        <w:p>
          <w:pPr>
            <w:pStyle w:val="10"/>
            <w:tabs>
              <w:tab w:val="right" w:leader="dot" w:pos="8296"/>
            </w:tabs>
            <w:rPr>
              <w:rFonts w:ascii="仿宋" w:hAnsi="仿宋" w:eastAsia="仿宋" w:cstheme="minorBidi"/>
              <w:sz w:val="28"/>
              <w:szCs w:val="28"/>
              <w14:ligatures w14:val="standardContextual"/>
            </w:rPr>
          </w:pPr>
          <w:r>
            <w:fldChar w:fldCharType="begin"/>
          </w:r>
          <w:r>
            <w:instrText xml:space="preserve"> HYPERLINK \l "_Toc153706320" </w:instrText>
          </w:r>
          <w:r>
            <w:fldChar w:fldCharType="separate"/>
          </w:r>
          <w:r>
            <w:rPr>
              <w:rStyle w:val="13"/>
              <w:rFonts w:ascii="仿宋" w:hAnsi="仿宋" w:eastAsia="仿宋"/>
              <w:sz w:val="28"/>
              <w:szCs w:val="28"/>
            </w:rPr>
            <w:t>（二）社会环境</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_Toc153706320 \h </w:instrText>
          </w:r>
          <w:r>
            <w:rPr>
              <w:rFonts w:ascii="仿宋" w:hAnsi="仿宋" w:eastAsia="仿宋"/>
              <w:sz w:val="28"/>
              <w:szCs w:val="28"/>
            </w:rPr>
            <w:fldChar w:fldCharType="separate"/>
          </w:r>
          <w:r>
            <w:rPr>
              <w:rFonts w:ascii="仿宋" w:hAnsi="仿宋" w:eastAsia="仿宋"/>
              <w:sz w:val="28"/>
              <w:szCs w:val="28"/>
            </w:rPr>
            <w:t>11</w:t>
          </w:r>
          <w:r>
            <w:rPr>
              <w:rFonts w:ascii="仿宋" w:hAnsi="仿宋" w:eastAsia="仿宋"/>
              <w:sz w:val="28"/>
              <w:szCs w:val="28"/>
            </w:rPr>
            <w:fldChar w:fldCharType="end"/>
          </w:r>
          <w:r>
            <w:rPr>
              <w:rFonts w:ascii="仿宋" w:hAnsi="仿宋" w:eastAsia="仿宋"/>
              <w:sz w:val="28"/>
              <w:szCs w:val="28"/>
            </w:rPr>
            <w:fldChar w:fldCharType="end"/>
          </w:r>
        </w:p>
        <w:p>
          <w:pPr>
            <w:pStyle w:val="10"/>
            <w:tabs>
              <w:tab w:val="right" w:leader="dot" w:pos="8296"/>
            </w:tabs>
            <w:rPr>
              <w:rFonts w:ascii="仿宋" w:hAnsi="仿宋" w:eastAsia="仿宋" w:cstheme="minorBidi"/>
              <w:sz w:val="28"/>
              <w:szCs w:val="28"/>
              <w14:ligatures w14:val="standardContextual"/>
            </w:rPr>
          </w:pPr>
          <w:r>
            <w:fldChar w:fldCharType="begin"/>
          </w:r>
          <w:r>
            <w:instrText xml:space="preserve"> HYPERLINK \l "_Toc153706321" </w:instrText>
          </w:r>
          <w:r>
            <w:fldChar w:fldCharType="separate"/>
          </w:r>
          <w:r>
            <w:rPr>
              <w:rStyle w:val="13"/>
              <w:rFonts w:ascii="仿宋" w:hAnsi="仿宋" w:eastAsia="仿宋"/>
              <w:sz w:val="28"/>
              <w:szCs w:val="28"/>
            </w:rPr>
            <w:t>（三）水资源分布及开发利用现状</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_Toc153706321 \h </w:instrText>
          </w:r>
          <w:r>
            <w:rPr>
              <w:rFonts w:ascii="仿宋" w:hAnsi="仿宋" w:eastAsia="仿宋"/>
              <w:sz w:val="28"/>
              <w:szCs w:val="28"/>
            </w:rPr>
            <w:fldChar w:fldCharType="separate"/>
          </w:r>
          <w:r>
            <w:rPr>
              <w:rFonts w:ascii="仿宋" w:hAnsi="仿宋" w:eastAsia="仿宋"/>
              <w:sz w:val="28"/>
              <w:szCs w:val="28"/>
            </w:rPr>
            <w:t>11</w:t>
          </w:r>
          <w:r>
            <w:rPr>
              <w:rFonts w:ascii="仿宋" w:hAnsi="仿宋" w:eastAsia="仿宋"/>
              <w:sz w:val="28"/>
              <w:szCs w:val="28"/>
            </w:rPr>
            <w:fldChar w:fldCharType="end"/>
          </w:r>
          <w:r>
            <w:rPr>
              <w:rFonts w:ascii="仿宋" w:hAnsi="仿宋" w:eastAsia="仿宋"/>
              <w:sz w:val="28"/>
              <w:szCs w:val="28"/>
            </w:rPr>
            <w:fldChar w:fldCharType="end"/>
          </w:r>
        </w:p>
        <w:p>
          <w:pPr>
            <w:pStyle w:val="10"/>
            <w:tabs>
              <w:tab w:val="right" w:leader="dot" w:pos="8296"/>
            </w:tabs>
            <w:rPr>
              <w:rFonts w:ascii="仿宋" w:hAnsi="仿宋" w:eastAsia="仿宋" w:cstheme="minorBidi"/>
              <w:sz w:val="28"/>
              <w:szCs w:val="28"/>
              <w14:ligatures w14:val="standardContextual"/>
            </w:rPr>
          </w:pPr>
          <w:r>
            <w:fldChar w:fldCharType="begin"/>
          </w:r>
          <w:r>
            <w:instrText xml:space="preserve"> HYPERLINK \l "_Toc153706322" </w:instrText>
          </w:r>
          <w:r>
            <w:fldChar w:fldCharType="separate"/>
          </w:r>
          <w:r>
            <w:rPr>
              <w:rStyle w:val="13"/>
              <w:rFonts w:ascii="仿宋" w:hAnsi="仿宋" w:eastAsia="仿宋"/>
              <w:sz w:val="28"/>
              <w:szCs w:val="28"/>
            </w:rPr>
            <w:t>（四）水环境质量状况</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_Toc153706322 \h </w:instrText>
          </w:r>
          <w:r>
            <w:rPr>
              <w:rFonts w:ascii="仿宋" w:hAnsi="仿宋" w:eastAsia="仿宋"/>
              <w:sz w:val="28"/>
              <w:szCs w:val="28"/>
            </w:rPr>
            <w:fldChar w:fldCharType="separate"/>
          </w:r>
          <w:r>
            <w:rPr>
              <w:rFonts w:ascii="仿宋" w:hAnsi="仿宋" w:eastAsia="仿宋"/>
              <w:sz w:val="28"/>
              <w:szCs w:val="28"/>
            </w:rPr>
            <w:t>16</w:t>
          </w:r>
          <w:r>
            <w:rPr>
              <w:rFonts w:ascii="仿宋" w:hAnsi="仿宋" w:eastAsia="仿宋"/>
              <w:sz w:val="28"/>
              <w:szCs w:val="28"/>
            </w:rPr>
            <w:fldChar w:fldCharType="end"/>
          </w:r>
          <w:r>
            <w:rPr>
              <w:rFonts w:ascii="仿宋" w:hAnsi="仿宋" w:eastAsia="仿宋"/>
              <w:sz w:val="28"/>
              <w:szCs w:val="28"/>
            </w:rPr>
            <w:fldChar w:fldCharType="end"/>
          </w:r>
        </w:p>
        <w:p>
          <w:pPr>
            <w:pStyle w:val="10"/>
            <w:tabs>
              <w:tab w:val="right" w:leader="dot" w:pos="8296"/>
            </w:tabs>
            <w:rPr>
              <w:rFonts w:ascii="仿宋" w:hAnsi="仿宋" w:eastAsia="仿宋" w:cstheme="minorBidi"/>
              <w:sz w:val="28"/>
              <w:szCs w:val="28"/>
              <w14:ligatures w14:val="standardContextual"/>
            </w:rPr>
          </w:pPr>
          <w:r>
            <w:fldChar w:fldCharType="begin"/>
          </w:r>
          <w:r>
            <w:instrText xml:space="preserve"> HYPERLINK \l "_Toc153706323" </w:instrText>
          </w:r>
          <w:r>
            <w:fldChar w:fldCharType="separate"/>
          </w:r>
          <w:r>
            <w:rPr>
              <w:rStyle w:val="13"/>
              <w:rFonts w:ascii="仿宋" w:hAnsi="仿宋" w:eastAsia="仿宋"/>
              <w:sz w:val="28"/>
              <w:szCs w:val="28"/>
            </w:rPr>
            <w:t>（五）主要水环境问题</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_Toc153706323 \h </w:instrText>
          </w:r>
          <w:r>
            <w:rPr>
              <w:rFonts w:ascii="仿宋" w:hAnsi="仿宋" w:eastAsia="仿宋"/>
              <w:sz w:val="28"/>
              <w:szCs w:val="28"/>
            </w:rPr>
            <w:fldChar w:fldCharType="separate"/>
          </w:r>
          <w:r>
            <w:rPr>
              <w:rFonts w:ascii="仿宋" w:hAnsi="仿宋" w:eastAsia="仿宋"/>
              <w:sz w:val="28"/>
              <w:szCs w:val="28"/>
            </w:rPr>
            <w:t>17</w:t>
          </w:r>
          <w:r>
            <w:rPr>
              <w:rFonts w:ascii="仿宋" w:hAnsi="仿宋" w:eastAsia="仿宋"/>
              <w:sz w:val="28"/>
              <w:szCs w:val="28"/>
            </w:rPr>
            <w:fldChar w:fldCharType="end"/>
          </w:r>
          <w:r>
            <w:rPr>
              <w:rFonts w:ascii="仿宋" w:hAnsi="仿宋" w:eastAsia="仿宋"/>
              <w:sz w:val="28"/>
              <w:szCs w:val="28"/>
            </w:rPr>
            <w:fldChar w:fldCharType="end"/>
          </w:r>
        </w:p>
        <w:p>
          <w:pPr>
            <w:pStyle w:val="9"/>
            <w:tabs>
              <w:tab w:val="right" w:leader="dot" w:pos="8296"/>
            </w:tabs>
            <w:rPr>
              <w:rFonts w:ascii="仿宋" w:hAnsi="仿宋" w:eastAsia="仿宋" w:cstheme="minorBidi"/>
              <w:sz w:val="28"/>
              <w:szCs w:val="28"/>
              <w14:ligatures w14:val="standardContextual"/>
            </w:rPr>
          </w:pPr>
          <w:r>
            <w:fldChar w:fldCharType="begin"/>
          </w:r>
          <w:r>
            <w:instrText xml:space="preserve"> HYPERLINK \l "_Toc153706324" </w:instrText>
          </w:r>
          <w:r>
            <w:fldChar w:fldCharType="separate"/>
          </w:r>
          <w:r>
            <w:rPr>
              <w:rStyle w:val="13"/>
              <w:rFonts w:ascii="仿宋" w:hAnsi="仿宋" w:eastAsia="仿宋"/>
              <w:sz w:val="28"/>
              <w:szCs w:val="28"/>
            </w:rPr>
            <w:t>三、水功能区划体系</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_Toc153706324 \h </w:instrText>
          </w:r>
          <w:r>
            <w:rPr>
              <w:rFonts w:ascii="仿宋" w:hAnsi="仿宋" w:eastAsia="仿宋"/>
              <w:sz w:val="28"/>
              <w:szCs w:val="28"/>
            </w:rPr>
            <w:fldChar w:fldCharType="separate"/>
          </w:r>
          <w:r>
            <w:rPr>
              <w:rFonts w:ascii="仿宋" w:hAnsi="仿宋" w:eastAsia="仿宋"/>
              <w:sz w:val="28"/>
              <w:szCs w:val="28"/>
            </w:rPr>
            <w:t>18</w:t>
          </w:r>
          <w:r>
            <w:rPr>
              <w:rFonts w:ascii="仿宋" w:hAnsi="仿宋" w:eastAsia="仿宋"/>
              <w:sz w:val="28"/>
              <w:szCs w:val="28"/>
            </w:rPr>
            <w:fldChar w:fldCharType="end"/>
          </w:r>
          <w:r>
            <w:rPr>
              <w:rFonts w:ascii="仿宋" w:hAnsi="仿宋" w:eastAsia="仿宋"/>
              <w:sz w:val="28"/>
              <w:szCs w:val="28"/>
            </w:rPr>
            <w:fldChar w:fldCharType="end"/>
          </w:r>
        </w:p>
        <w:p>
          <w:pPr>
            <w:pStyle w:val="10"/>
            <w:tabs>
              <w:tab w:val="right" w:leader="dot" w:pos="8296"/>
            </w:tabs>
            <w:rPr>
              <w:rFonts w:ascii="仿宋" w:hAnsi="仿宋" w:eastAsia="仿宋" w:cstheme="minorBidi"/>
              <w:sz w:val="28"/>
              <w:szCs w:val="28"/>
              <w14:ligatures w14:val="standardContextual"/>
            </w:rPr>
          </w:pPr>
          <w:r>
            <w:fldChar w:fldCharType="begin"/>
          </w:r>
          <w:r>
            <w:instrText xml:space="preserve"> HYPERLINK \l "_Toc153706325" </w:instrText>
          </w:r>
          <w:r>
            <w:fldChar w:fldCharType="separate"/>
          </w:r>
          <w:r>
            <w:rPr>
              <w:rStyle w:val="13"/>
              <w:rFonts w:ascii="仿宋" w:hAnsi="仿宋" w:eastAsia="仿宋"/>
              <w:sz w:val="28"/>
              <w:szCs w:val="28"/>
            </w:rPr>
            <w:t>（一）水功能区划分体系</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_Toc153706325 \h </w:instrText>
          </w:r>
          <w:r>
            <w:rPr>
              <w:rFonts w:ascii="仿宋" w:hAnsi="仿宋" w:eastAsia="仿宋"/>
              <w:sz w:val="28"/>
              <w:szCs w:val="28"/>
            </w:rPr>
            <w:fldChar w:fldCharType="separate"/>
          </w:r>
          <w:r>
            <w:rPr>
              <w:rFonts w:ascii="仿宋" w:hAnsi="仿宋" w:eastAsia="仿宋"/>
              <w:sz w:val="28"/>
              <w:szCs w:val="28"/>
            </w:rPr>
            <w:t>18</w:t>
          </w:r>
          <w:r>
            <w:rPr>
              <w:rFonts w:ascii="仿宋" w:hAnsi="仿宋" w:eastAsia="仿宋"/>
              <w:sz w:val="28"/>
              <w:szCs w:val="28"/>
            </w:rPr>
            <w:fldChar w:fldCharType="end"/>
          </w:r>
          <w:r>
            <w:rPr>
              <w:rFonts w:ascii="仿宋" w:hAnsi="仿宋" w:eastAsia="仿宋"/>
              <w:sz w:val="28"/>
              <w:szCs w:val="28"/>
            </w:rPr>
            <w:fldChar w:fldCharType="end"/>
          </w:r>
        </w:p>
        <w:p>
          <w:pPr>
            <w:pStyle w:val="10"/>
            <w:tabs>
              <w:tab w:val="right" w:leader="dot" w:pos="8296"/>
            </w:tabs>
            <w:rPr>
              <w:rFonts w:ascii="仿宋" w:hAnsi="仿宋" w:eastAsia="仿宋" w:cstheme="minorBidi"/>
              <w:sz w:val="28"/>
              <w:szCs w:val="28"/>
              <w14:ligatures w14:val="standardContextual"/>
            </w:rPr>
          </w:pPr>
          <w:r>
            <w:fldChar w:fldCharType="begin"/>
          </w:r>
          <w:r>
            <w:instrText xml:space="preserve"> HYPERLINK \l "_Toc153706326" </w:instrText>
          </w:r>
          <w:r>
            <w:fldChar w:fldCharType="separate"/>
          </w:r>
          <w:r>
            <w:rPr>
              <w:rStyle w:val="13"/>
              <w:rFonts w:ascii="仿宋" w:hAnsi="仿宋" w:eastAsia="仿宋"/>
              <w:sz w:val="28"/>
              <w:szCs w:val="28"/>
            </w:rPr>
            <w:t>（二）一级区划的条件和指标</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_Toc153706326 \h </w:instrText>
          </w:r>
          <w:r>
            <w:rPr>
              <w:rFonts w:ascii="仿宋" w:hAnsi="仿宋" w:eastAsia="仿宋"/>
              <w:sz w:val="28"/>
              <w:szCs w:val="28"/>
            </w:rPr>
            <w:fldChar w:fldCharType="separate"/>
          </w:r>
          <w:r>
            <w:rPr>
              <w:rFonts w:ascii="仿宋" w:hAnsi="仿宋" w:eastAsia="仿宋"/>
              <w:sz w:val="28"/>
              <w:szCs w:val="28"/>
            </w:rPr>
            <w:t>19</w:t>
          </w:r>
          <w:r>
            <w:rPr>
              <w:rFonts w:ascii="仿宋" w:hAnsi="仿宋" w:eastAsia="仿宋"/>
              <w:sz w:val="28"/>
              <w:szCs w:val="28"/>
            </w:rPr>
            <w:fldChar w:fldCharType="end"/>
          </w:r>
          <w:r>
            <w:rPr>
              <w:rFonts w:ascii="仿宋" w:hAnsi="仿宋" w:eastAsia="仿宋"/>
              <w:sz w:val="28"/>
              <w:szCs w:val="28"/>
            </w:rPr>
            <w:fldChar w:fldCharType="end"/>
          </w:r>
        </w:p>
        <w:p>
          <w:pPr>
            <w:pStyle w:val="10"/>
            <w:tabs>
              <w:tab w:val="right" w:leader="dot" w:pos="8296"/>
            </w:tabs>
            <w:rPr>
              <w:rFonts w:ascii="仿宋" w:hAnsi="仿宋" w:eastAsia="仿宋" w:cstheme="minorBidi"/>
              <w:sz w:val="28"/>
              <w:szCs w:val="28"/>
              <w14:ligatures w14:val="standardContextual"/>
            </w:rPr>
          </w:pPr>
          <w:r>
            <w:fldChar w:fldCharType="begin"/>
          </w:r>
          <w:r>
            <w:instrText xml:space="preserve"> HYPERLINK \l "_Toc153706327" </w:instrText>
          </w:r>
          <w:r>
            <w:fldChar w:fldCharType="separate"/>
          </w:r>
          <w:r>
            <w:rPr>
              <w:rStyle w:val="13"/>
              <w:rFonts w:ascii="仿宋" w:hAnsi="仿宋" w:eastAsia="仿宋"/>
              <w:sz w:val="28"/>
              <w:szCs w:val="28"/>
            </w:rPr>
            <w:t>（三）二级区划的条件和指标</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_Toc153706327 \h </w:instrText>
          </w:r>
          <w:r>
            <w:rPr>
              <w:rFonts w:ascii="仿宋" w:hAnsi="仿宋" w:eastAsia="仿宋"/>
              <w:sz w:val="28"/>
              <w:szCs w:val="28"/>
            </w:rPr>
            <w:fldChar w:fldCharType="separate"/>
          </w:r>
          <w:r>
            <w:rPr>
              <w:rFonts w:ascii="仿宋" w:hAnsi="仿宋" w:eastAsia="仿宋"/>
              <w:sz w:val="28"/>
              <w:szCs w:val="28"/>
            </w:rPr>
            <w:t>21</w:t>
          </w:r>
          <w:r>
            <w:rPr>
              <w:rFonts w:ascii="仿宋" w:hAnsi="仿宋" w:eastAsia="仿宋"/>
              <w:sz w:val="28"/>
              <w:szCs w:val="28"/>
            </w:rPr>
            <w:fldChar w:fldCharType="end"/>
          </w:r>
          <w:r>
            <w:rPr>
              <w:rFonts w:ascii="仿宋" w:hAnsi="仿宋" w:eastAsia="仿宋"/>
              <w:sz w:val="28"/>
              <w:szCs w:val="28"/>
            </w:rPr>
            <w:fldChar w:fldCharType="end"/>
          </w:r>
        </w:p>
        <w:p>
          <w:pPr>
            <w:pStyle w:val="9"/>
            <w:tabs>
              <w:tab w:val="right" w:leader="dot" w:pos="8296"/>
            </w:tabs>
            <w:rPr>
              <w:rFonts w:ascii="仿宋" w:hAnsi="仿宋" w:eastAsia="仿宋" w:cstheme="minorBidi"/>
              <w:sz w:val="28"/>
              <w:szCs w:val="28"/>
              <w14:ligatures w14:val="standardContextual"/>
            </w:rPr>
          </w:pPr>
          <w:r>
            <w:fldChar w:fldCharType="begin"/>
          </w:r>
          <w:r>
            <w:instrText xml:space="preserve"> HYPERLINK \l "_Toc153706328" </w:instrText>
          </w:r>
          <w:r>
            <w:fldChar w:fldCharType="separate"/>
          </w:r>
          <w:r>
            <w:rPr>
              <w:rStyle w:val="13"/>
              <w:rFonts w:ascii="仿宋" w:hAnsi="仿宋" w:eastAsia="仿宋"/>
              <w:sz w:val="28"/>
              <w:szCs w:val="28"/>
            </w:rPr>
            <w:t>四、水功能区划方案及结果</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_Toc153706328 \h </w:instrText>
          </w:r>
          <w:r>
            <w:rPr>
              <w:rFonts w:ascii="仿宋" w:hAnsi="仿宋" w:eastAsia="仿宋"/>
              <w:sz w:val="28"/>
              <w:szCs w:val="28"/>
            </w:rPr>
            <w:fldChar w:fldCharType="separate"/>
          </w:r>
          <w:r>
            <w:rPr>
              <w:rFonts w:ascii="仿宋" w:hAnsi="仿宋" w:eastAsia="仿宋"/>
              <w:sz w:val="28"/>
              <w:szCs w:val="28"/>
            </w:rPr>
            <w:t>24</w:t>
          </w:r>
          <w:r>
            <w:rPr>
              <w:rFonts w:ascii="仿宋" w:hAnsi="仿宋" w:eastAsia="仿宋"/>
              <w:sz w:val="28"/>
              <w:szCs w:val="28"/>
            </w:rPr>
            <w:fldChar w:fldCharType="end"/>
          </w:r>
          <w:r>
            <w:rPr>
              <w:rFonts w:ascii="仿宋" w:hAnsi="仿宋" w:eastAsia="仿宋"/>
              <w:sz w:val="28"/>
              <w:szCs w:val="28"/>
            </w:rPr>
            <w:fldChar w:fldCharType="end"/>
          </w:r>
        </w:p>
        <w:p>
          <w:pPr>
            <w:pStyle w:val="10"/>
            <w:tabs>
              <w:tab w:val="right" w:leader="dot" w:pos="8296"/>
            </w:tabs>
            <w:rPr>
              <w:rFonts w:ascii="仿宋" w:hAnsi="仿宋" w:eastAsia="仿宋" w:cstheme="minorBidi"/>
              <w:sz w:val="28"/>
              <w:szCs w:val="28"/>
              <w14:ligatures w14:val="standardContextual"/>
            </w:rPr>
          </w:pPr>
          <w:r>
            <w:fldChar w:fldCharType="begin"/>
          </w:r>
          <w:r>
            <w:instrText xml:space="preserve"> HYPERLINK \l "_Toc153706329" </w:instrText>
          </w:r>
          <w:r>
            <w:fldChar w:fldCharType="separate"/>
          </w:r>
          <w:r>
            <w:rPr>
              <w:rStyle w:val="13"/>
              <w:rFonts w:ascii="仿宋" w:hAnsi="仿宋" w:eastAsia="仿宋"/>
              <w:sz w:val="28"/>
              <w:szCs w:val="28"/>
            </w:rPr>
            <w:t>（一）区划方法</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_Toc153706329 \h </w:instrText>
          </w:r>
          <w:r>
            <w:rPr>
              <w:rFonts w:ascii="仿宋" w:hAnsi="仿宋" w:eastAsia="仿宋"/>
              <w:sz w:val="28"/>
              <w:szCs w:val="28"/>
            </w:rPr>
            <w:fldChar w:fldCharType="separate"/>
          </w:r>
          <w:r>
            <w:rPr>
              <w:rFonts w:ascii="仿宋" w:hAnsi="仿宋" w:eastAsia="仿宋"/>
              <w:sz w:val="28"/>
              <w:szCs w:val="28"/>
            </w:rPr>
            <w:t>24</w:t>
          </w:r>
          <w:r>
            <w:rPr>
              <w:rFonts w:ascii="仿宋" w:hAnsi="仿宋" w:eastAsia="仿宋"/>
              <w:sz w:val="28"/>
              <w:szCs w:val="28"/>
            </w:rPr>
            <w:fldChar w:fldCharType="end"/>
          </w:r>
          <w:r>
            <w:rPr>
              <w:rFonts w:ascii="仿宋" w:hAnsi="仿宋" w:eastAsia="仿宋"/>
              <w:sz w:val="28"/>
              <w:szCs w:val="28"/>
            </w:rPr>
            <w:fldChar w:fldCharType="end"/>
          </w:r>
        </w:p>
        <w:p>
          <w:pPr>
            <w:pStyle w:val="10"/>
            <w:tabs>
              <w:tab w:val="right" w:leader="dot" w:pos="8296"/>
            </w:tabs>
            <w:rPr>
              <w:rFonts w:ascii="仿宋" w:hAnsi="仿宋" w:eastAsia="仿宋" w:cstheme="minorBidi"/>
              <w:sz w:val="28"/>
              <w:szCs w:val="28"/>
              <w14:ligatures w14:val="standardContextual"/>
            </w:rPr>
          </w:pPr>
          <w:r>
            <w:fldChar w:fldCharType="begin"/>
          </w:r>
          <w:r>
            <w:instrText xml:space="preserve"> HYPERLINK \l "_Toc153706330" </w:instrText>
          </w:r>
          <w:r>
            <w:fldChar w:fldCharType="separate"/>
          </w:r>
          <w:r>
            <w:rPr>
              <w:rStyle w:val="13"/>
              <w:rFonts w:ascii="仿宋" w:hAnsi="仿宋" w:eastAsia="仿宋"/>
              <w:sz w:val="28"/>
              <w:szCs w:val="28"/>
            </w:rPr>
            <w:t>（二）区划结果</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_Toc153706330 \h </w:instrText>
          </w:r>
          <w:r>
            <w:rPr>
              <w:rFonts w:ascii="仿宋" w:hAnsi="仿宋" w:eastAsia="仿宋"/>
              <w:sz w:val="28"/>
              <w:szCs w:val="28"/>
            </w:rPr>
            <w:fldChar w:fldCharType="separate"/>
          </w:r>
          <w:r>
            <w:rPr>
              <w:rFonts w:ascii="仿宋" w:hAnsi="仿宋" w:eastAsia="仿宋"/>
              <w:sz w:val="28"/>
              <w:szCs w:val="28"/>
            </w:rPr>
            <w:t>25</w:t>
          </w:r>
          <w:r>
            <w:rPr>
              <w:rFonts w:ascii="仿宋" w:hAnsi="仿宋" w:eastAsia="仿宋"/>
              <w:sz w:val="28"/>
              <w:szCs w:val="28"/>
            </w:rPr>
            <w:fldChar w:fldCharType="end"/>
          </w:r>
          <w:r>
            <w:rPr>
              <w:rFonts w:ascii="仿宋" w:hAnsi="仿宋" w:eastAsia="仿宋"/>
              <w:sz w:val="28"/>
              <w:szCs w:val="28"/>
            </w:rPr>
            <w:fldChar w:fldCharType="end"/>
          </w:r>
        </w:p>
        <w:p>
          <w:pPr>
            <w:pStyle w:val="9"/>
            <w:tabs>
              <w:tab w:val="right" w:leader="dot" w:pos="8296"/>
            </w:tabs>
            <w:rPr>
              <w:rFonts w:ascii="仿宋" w:hAnsi="仿宋" w:eastAsia="仿宋" w:cstheme="minorBidi"/>
              <w:sz w:val="28"/>
              <w:szCs w:val="28"/>
              <w14:ligatures w14:val="standardContextual"/>
            </w:rPr>
          </w:pPr>
          <w:r>
            <w:fldChar w:fldCharType="begin"/>
          </w:r>
          <w:r>
            <w:instrText xml:space="preserve"> HYPERLINK \l "_Toc153706331" </w:instrText>
          </w:r>
          <w:r>
            <w:fldChar w:fldCharType="separate"/>
          </w:r>
          <w:r>
            <w:rPr>
              <w:rStyle w:val="13"/>
              <w:rFonts w:ascii="仿宋" w:hAnsi="仿宋" w:eastAsia="仿宋"/>
              <w:sz w:val="28"/>
              <w:szCs w:val="28"/>
            </w:rPr>
            <w:t>五、水功能区划实施保障</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_Toc153706331 \h </w:instrText>
          </w:r>
          <w:r>
            <w:rPr>
              <w:rFonts w:ascii="仿宋" w:hAnsi="仿宋" w:eastAsia="仿宋"/>
              <w:sz w:val="28"/>
              <w:szCs w:val="28"/>
            </w:rPr>
            <w:fldChar w:fldCharType="separate"/>
          </w:r>
          <w:r>
            <w:rPr>
              <w:rFonts w:ascii="仿宋" w:hAnsi="仿宋" w:eastAsia="仿宋"/>
              <w:sz w:val="28"/>
              <w:szCs w:val="28"/>
            </w:rPr>
            <w:t>29</w:t>
          </w:r>
          <w:r>
            <w:rPr>
              <w:rFonts w:ascii="仿宋" w:hAnsi="仿宋" w:eastAsia="仿宋"/>
              <w:sz w:val="28"/>
              <w:szCs w:val="28"/>
            </w:rPr>
            <w:fldChar w:fldCharType="end"/>
          </w:r>
          <w:r>
            <w:rPr>
              <w:rFonts w:ascii="仿宋" w:hAnsi="仿宋" w:eastAsia="仿宋"/>
              <w:sz w:val="28"/>
              <w:szCs w:val="28"/>
            </w:rPr>
            <w:fldChar w:fldCharType="end"/>
          </w:r>
        </w:p>
        <w:p>
          <w:pPr>
            <w:pStyle w:val="10"/>
            <w:tabs>
              <w:tab w:val="right" w:leader="dot" w:pos="8296"/>
            </w:tabs>
            <w:rPr>
              <w:rFonts w:ascii="仿宋" w:hAnsi="仿宋" w:eastAsia="仿宋" w:cstheme="minorBidi"/>
              <w:sz w:val="28"/>
              <w:szCs w:val="28"/>
              <w14:ligatures w14:val="standardContextual"/>
            </w:rPr>
          </w:pPr>
          <w:r>
            <w:fldChar w:fldCharType="begin"/>
          </w:r>
          <w:r>
            <w:instrText xml:space="preserve"> HYPERLINK \l "_Toc153706332" </w:instrText>
          </w:r>
          <w:r>
            <w:fldChar w:fldCharType="separate"/>
          </w:r>
          <w:r>
            <w:rPr>
              <w:rStyle w:val="13"/>
              <w:rFonts w:ascii="仿宋" w:hAnsi="仿宋" w:eastAsia="仿宋"/>
              <w:sz w:val="28"/>
              <w:szCs w:val="28"/>
            </w:rPr>
            <w:t>（一）建立完善的管理体系</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_Toc153706332 \h </w:instrText>
          </w:r>
          <w:r>
            <w:rPr>
              <w:rFonts w:ascii="仿宋" w:hAnsi="仿宋" w:eastAsia="仿宋"/>
              <w:sz w:val="28"/>
              <w:szCs w:val="28"/>
            </w:rPr>
            <w:fldChar w:fldCharType="separate"/>
          </w:r>
          <w:r>
            <w:rPr>
              <w:rFonts w:ascii="仿宋" w:hAnsi="仿宋" w:eastAsia="仿宋"/>
              <w:sz w:val="28"/>
              <w:szCs w:val="28"/>
            </w:rPr>
            <w:t>29</w:t>
          </w:r>
          <w:r>
            <w:rPr>
              <w:rFonts w:ascii="仿宋" w:hAnsi="仿宋" w:eastAsia="仿宋"/>
              <w:sz w:val="28"/>
              <w:szCs w:val="28"/>
            </w:rPr>
            <w:fldChar w:fldCharType="end"/>
          </w:r>
          <w:r>
            <w:rPr>
              <w:rFonts w:ascii="仿宋" w:hAnsi="仿宋" w:eastAsia="仿宋"/>
              <w:sz w:val="28"/>
              <w:szCs w:val="28"/>
            </w:rPr>
            <w:fldChar w:fldCharType="end"/>
          </w:r>
        </w:p>
        <w:p>
          <w:pPr>
            <w:pStyle w:val="10"/>
            <w:tabs>
              <w:tab w:val="right" w:leader="dot" w:pos="8296"/>
            </w:tabs>
            <w:rPr>
              <w:rFonts w:ascii="仿宋" w:hAnsi="仿宋" w:eastAsia="仿宋" w:cstheme="minorBidi"/>
              <w:sz w:val="28"/>
              <w:szCs w:val="28"/>
              <w14:ligatures w14:val="standardContextual"/>
            </w:rPr>
          </w:pPr>
          <w:r>
            <w:fldChar w:fldCharType="begin"/>
          </w:r>
          <w:r>
            <w:instrText xml:space="preserve"> HYPERLINK \l "_Toc153706333" </w:instrText>
          </w:r>
          <w:r>
            <w:fldChar w:fldCharType="separate"/>
          </w:r>
          <w:r>
            <w:rPr>
              <w:rStyle w:val="13"/>
              <w:rFonts w:ascii="仿宋" w:hAnsi="仿宋" w:eastAsia="仿宋"/>
              <w:sz w:val="28"/>
              <w:szCs w:val="28"/>
            </w:rPr>
            <w:t>（二）建立健全水质监测网络体系</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_Toc153706333 \h </w:instrText>
          </w:r>
          <w:r>
            <w:rPr>
              <w:rFonts w:ascii="仿宋" w:hAnsi="仿宋" w:eastAsia="仿宋"/>
              <w:sz w:val="28"/>
              <w:szCs w:val="28"/>
            </w:rPr>
            <w:fldChar w:fldCharType="separate"/>
          </w:r>
          <w:r>
            <w:rPr>
              <w:rFonts w:ascii="仿宋" w:hAnsi="仿宋" w:eastAsia="仿宋"/>
              <w:sz w:val="28"/>
              <w:szCs w:val="28"/>
            </w:rPr>
            <w:t>30</w:t>
          </w:r>
          <w:r>
            <w:rPr>
              <w:rFonts w:ascii="仿宋" w:hAnsi="仿宋" w:eastAsia="仿宋"/>
              <w:sz w:val="28"/>
              <w:szCs w:val="28"/>
            </w:rPr>
            <w:fldChar w:fldCharType="end"/>
          </w:r>
          <w:r>
            <w:rPr>
              <w:rFonts w:ascii="仿宋" w:hAnsi="仿宋" w:eastAsia="仿宋"/>
              <w:sz w:val="28"/>
              <w:szCs w:val="28"/>
            </w:rPr>
            <w:fldChar w:fldCharType="end"/>
          </w:r>
        </w:p>
        <w:p>
          <w:pPr>
            <w:pStyle w:val="10"/>
            <w:tabs>
              <w:tab w:val="right" w:leader="dot" w:pos="8296"/>
            </w:tabs>
            <w:rPr>
              <w:rFonts w:ascii="仿宋" w:hAnsi="仿宋" w:eastAsia="仿宋" w:cstheme="minorBidi"/>
              <w:sz w:val="28"/>
              <w:szCs w:val="28"/>
              <w14:ligatures w14:val="standardContextual"/>
            </w:rPr>
          </w:pPr>
          <w:r>
            <w:fldChar w:fldCharType="begin"/>
          </w:r>
          <w:r>
            <w:instrText xml:space="preserve"> HYPERLINK \l "_Toc153706334" </w:instrText>
          </w:r>
          <w:r>
            <w:fldChar w:fldCharType="separate"/>
          </w:r>
          <w:r>
            <w:rPr>
              <w:rStyle w:val="13"/>
              <w:rFonts w:ascii="仿宋" w:hAnsi="仿宋" w:eastAsia="仿宋"/>
              <w:sz w:val="28"/>
              <w:szCs w:val="28"/>
            </w:rPr>
            <w:t>（三）设置重要功能区标志和建立日常巡查机制</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_Toc153706334 \h </w:instrText>
          </w:r>
          <w:r>
            <w:rPr>
              <w:rFonts w:ascii="仿宋" w:hAnsi="仿宋" w:eastAsia="仿宋"/>
              <w:sz w:val="28"/>
              <w:szCs w:val="28"/>
            </w:rPr>
            <w:fldChar w:fldCharType="separate"/>
          </w:r>
          <w:r>
            <w:rPr>
              <w:rFonts w:ascii="仿宋" w:hAnsi="仿宋" w:eastAsia="仿宋"/>
              <w:sz w:val="28"/>
              <w:szCs w:val="28"/>
            </w:rPr>
            <w:t>30</w:t>
          </w:r>
          <w:r>
            <w:rPr>
              <w:rFonts w:ascii="仿宋" w:hAnsi="仿宋" w:eastAsia="仿宋"/>
              <w:sz w:val="28"/>
              <w:szCs w:val="28"/>
            </w:rPr>
            <w:fldChar w:fldCharType="end"/>
          </w:r>
          <w:r>
            <w:rPr>
              <w:rFonts w:ascii="仿宋" w:hAnsi="仿宋" w:eastAsia="仿宋"/>
              <w:sz w:val="28"/>
              <w:szCs w:val="28"/>
            </w:rPr>
            <w:fldChar w:fldCharType="end"/>
          </w:r>
        </w:p>
        <w:p>
          <w:pPr>
            <w:pStyle w:val="10"/>
            <w:tabs>
              <w:tab w:val="right" w:leader="dot" w:pos="8296"/>
            </w:tabs>
            <w:rPr>
              <w:rFonts w:ascii="仿宋" w:hAnsi="仿宋" w:eastAsia="仿宋" w:cstheme="minorBidi"/>
              <w:sz w:val="28"/>
              <w:szCs w:val="28"/>
              <w14:ligatures w14:val="standardContextual"/>
            </w:rPr>
          </w:pPr>
          <w:r>
            <w:fldChar w:fldCharType="begin"/>
          </w:r>
          <w:r>
            <w:instrText xml:space="preserve"> HYPERLINK \l "_Toc153706335" </w:instrText>
          </w:r>
          <w:r>
            <w:fldChar w:fldCharType="separate"/>
          </w:r>
          <w:r>
            <w:rPr>
              <w:rStyle w:val="13"/>
              <w:rFonts w:ascii="仿宋" w:hAnsi="仿宋" w:eastAsia="仿宋"/>
              <w:sz w:val="28"/>
              <w:szCs w:val="28"/>
            </w:rPr>
            <w:t>（四）加强功能区管理的协调工作</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_Toc153706335 \h </w:instrText>
          </w:r>
          <w:r>
            <w:rPr>
              <w:rFonts w:ascii="仿宋" w:hAnsi="仿宋" w:eastAsia="仿宋"/>
              <w:sz w:val="28"/>
              <w:szCs w:val="28"/>
            </w:rPr>
            <w:fldChar w:fldCharType="separate"/>
          </w:r>
          <w:r>
            <w:rPr>
              <w:rFonts w:ascii="仿宋" w:hAnsi="仿宋" w:eastAsia="仿宋"/>
              <w:sz w:val="28"/>
              <w:szCs w:val="28"/>
            </w:rPr>
            <w:t>30</w:t>
          </w:r>
          <w:r>
            <w:rPr>
              <w:rFonts w:ascii="仿宋" w:hAnsi="仿宋" w:eastAsia="仿宋"/>
              <w:sz w:val="28"/>
              <w:szCs w:val="28"/>
            </w:rPr>
            <w:fldChar w:fldCharType="end"/>
          </w:r>
          <w:r>
            <w:rPr>
              <w:rFonts w:ascii="仿宋" w:hAnsi="仿宋" w:eastAsia="仿宋"/>
              <w:sz w:val="28"/>
              <w:szCs w:val="28"/>
            </w:rPr>
            <w:fldChar w:fldCharType="end"/>
          </w:r>
        </w:p>
        <w:p>
          <w:pPr>
            <w:pStyle w:val="9"/>
            <w:tabs>
              <w:tab w:val="right" w:leader="dot" w:pos="8296"/>
            </w:tabs>
            <w:rPr>
              <w:rFonts w:ascii="仿宋" w:hAnsi="仿宋" w:eastAsia="仿宋" w:cstheme="minorBidi"/>
              <w:sz w:val="28"/>
              <w:szCs w:val="28"/>
              <w14:ligatures w14:val="standardContextual"/>
            </w:rPr>
          </w:pPr>
          <w:r>
            <w:fldChar w:fldCharType="begin"/>
          </w:r>
          <w:r>
            <w:instrText xml:space="preserve"> HYPERLINK \l "_Toc153706336" </w:instrText>
          </w:r>
          <w:r>
            <w:fldChar w:fldCharType="separate"/>
          </w:r>
          <w:r>
            <w:rPr>
              <w:rStyle w:val="13"/>
              <w:rFonts w:ascii="仿宋" w:hAnsi="仿宋" w:eastAsia="仿宋"/>
              <w:sz w:val="28"/>
              <w:szCs w:val="28"/>
            </w:rPr>
            <w:t>六、问题和建议</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_Toc153706336 \h </w:instrText>
          </w:r>
          <w:r>
            <w:rPr>
              <w:rFonts w:ascii="仿宋" w:hAnsi="仿宋" w:eastAsia="仿宋"/>
              <w:sz w:val="28"/>
              <w:szCs w:val="28"/>
            </w:rPr>
            <w:fldChar w:fldCharType="separate"/>
          </w:r>
          <w:r>
            <w:rPr>
              <w:rFonts w:ascii="仿宋" w:hAnsi="仿宋" w:eastAsia="仿宋"/>
              <w:sz w:val="28"/>
              <w:szCs w:val="28"/>
            </w:rPr>
            <w:t>31</w:t>
          </w:r>
          <w:r>
            <w:rPr>
              <w:rFonts w:ascii="仿宋" w:hAnsi="仿宋" w:eastAsia="仿宋"/>
              <w:sz w:val="28"/>
              <w:szCs w:val="28"/>
            </w:rPr>
            <w:fldChar w:fldCharType="end"/>
          </w:r>
          <w:r>
            <w:rPr>
              <w:rFonts w:ascii="仿宋" w:hAnsi="仿宋" w:eastAsia="仿宋"/>
              <w:sz w:val="28"/>
              <w:szCs w:val="28"/>
            </w:rPr>
            <w:fldChar w:fldCharType="end"/>
          </w:r>
        </w:p>
        <w:p>
          <w:pPr>
            <w:pStyle w:val="10"/>
            <w:tabs>
              <w:tab w:val="right" w:leader="dot" w:pos="8296"/>
            </w:tabs>
            <w:rPr>
              <w:rFonts w:ascii="仿宋" w:hAnsi="仿宋" w:eastAsia="仿宋" w:cstheme="minorBidi"/>
              <w:sz w:val="28"/>
              <w:szCs w:val="28"/>
              <w14:ligatures w14:val="standardContextual"/>
            </w:rPr>
          </w:pPr>
          <w:r>
            <w:fldChar w:fldCharType="begin"/>
          </w:r>
          <w:r>
            <w:instrText xml:space="preserve"> HYPERLINK \l "_Toc153706337" </w:instrText>
          </w:r>
          <w:r>
            <w:fldChar w:fldCharType="separate"/>
          </w:r>
          <w:r>
            <w:rPr>
              <w:rStyle w:val="13"/>
              <w:rFonts w:ascii="仿宋" w:hAnsi="仿宋" w:eastAsia="仿宋"/>
              <w:sz w:val="28"/>
              <w:szCs w:val="28"/>
            </w:rPr>
            <w:t>附图1  策勒县水功能区划空间分布图</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_Toc153706337 \h </w:instrText>
          </w:r>
          <w:r>
            <w:rPr>
              <w:rFonts w:ascii="仿宋" w:hAnsi="仿宋" w:eastAsia="仿宋"/>
              <w:sz w:val="28"/>
              <w:szCs w:val="28"/>
            </w:rPr>
            <w:fldChar w:fldCharType="separate"/>
          </w:r>
          <w:r>
            <w:rPr>
              <w:rFonts w:ascii="仿宋" w:hAnsi="仿宋" w:eastAsia="仿宋"/>
              <w:sz w:val="28"/>
              <w:szCs w:val="28"/>
            </w:rPr>
            <w:t>32</w:t>
          </w:r>
          <w:r>
            <w:rPr>
              <w:rFonts w:ascii="仿宋" w:hAnsi="仿宋" w:eastAsia="仿宋"/>
              <w:sz w:val="28"/>
              <w:szCs w:val="28"/>
            </w:rPr>
            <w:fldChar w:fldCharType="end"/>
          </w:r>
          <w:r>
            <w:rPr>
              <w:rFonts w:ascii="仿宋" w:hAnsi="仿宋" w:eastAsia="仿宋"/>
              <w:sz w:val="28"/>
              <w:szCs w:val="28"/>
            </w:rPr>
            <w:fldChar w:fldCharType="end"/>
          </w:r>
        </w:p>
        <w:p>
          <w:pPr>
            <w:pStyle w:val="10"/>
            <w:tabs>
              <w:tab w:val="right" w:leader="dot" w:pos="8296"/>
            </w:tabs>
            <w:rPr>
              <w:rFonts w:ascii="仿宋" w:hAnsi="仿宋" w:eastAsia="仿宋" w:cstheme="minorBidi"/>
              <w:sz w:val="28"/>
              <w:szCs w:val="28"/>
              <w14:ligatures w14:val="standardContextual"/>
            </w:rPr>
          </w:pPr>
          <w:r>
            <w:fldChar w:fldCharType="begin"/>
          </w:r>
          <w:r>
            <w:instrText xml:space="preserve"> HYPERLINK \l "_Toc153706338" </w:instrText>
          </w:r>
          <w:r>
            <w:fldChar w:fldCharType="separate"/>
          </w:r>
          <w:r>
            <w:rPr>
              <w:rStyle w:val="13"/>
              <w:rFonts w:ascii="仿宋" w:hAnsi="仿宋" w:eastAsia="仿宋"/>
              <w:sz w:val="28"/>
              <w:szCs w:val="28"/>
            </w:rPr>
            <w:t>附图2  策勒县水功能区划与敏感区位置关系分布图</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_Toc153706338 \h </w:instrText>
          </w:r>
          <w:r>
            <w:rPr>
              <w:rFonts w:ascii="仿宋" w:hAnsi="仿宋" w:eastAsia="仿宋"/>
              <w:sz w:val="28"/>
              <w:szCs w:val="28"/>
            </w:rPr>
            <w:fldChar w:fldCharType="separate"/>
          </w:r>
          <w:r>
            <w:rPr>
              <w:rFonts w:ascii="仿宋" w:hAnsi="仿宋" w:eastAsia="仿宋"/>
              <w:sz w:val="28"/>
              <w:szCs w:val="28"/>
            </w:rPr>
            <w:t>33</w:t>
          </w:r>
          <w:r>
            <w:rPr>
              <w:rFonts w:ascii="仿宋" w:hAnsi="仿宋" w:eastAsia="仿宋"/>
              <w:sz w:val="28"/>
              <w:szCs w:val="28"/>
            </w:rPr>
            <w:fldChar w:fldCharType="end"/>
          </w:r>
          <w:r>
            <w:rPr>
              <w:rFonts w:ascii="仿宋" w:hAnsi="仿宋" w:eastAsia="仿宋"/>
              <w:sz w:val="28"/>
              <w:szCs w:val="28"/>
            </w:rPr>
            <w:fldChar w:fldCharType="end"/>
          </w:r>
        </w:p>
        <w:p>
          <w:pPr>
            <w:pStyle w:val="10"/>
            <w:tabs>
              <w:tab w:val="right" w:leader="dot" w:pos="8296"/>
            </w:tabs>
            <w:rPr>
              <w:rFonts w:ascii="仿宋" w:hAnsi="仿宋" w:eastAsia="仿宋" w:cstheme="minorBidi"/>
              <w:sz w:val="28"/>
              <w:szCs w:val="28"/>
              <w14:ligatures w14:val="standardContextual"/>
            </w:rPr>
          </w:pPr>
          <w:r>
            <w:fldChar w:fldCharType="begin"/>
          </w:r>
          <w:r>
            <w:instrText xml:space="preserve"> HYPERLINK \l "_Toc153706339" </w:instrText>
          </w:r>
          <w:r>
            <w:fldChar w:fldCharType="separate"/>
          </w:r>
          <w:r>
            <w:rPr>
              <w:rStyle w:val="13"/>
              <w:rFonts w:ascii="仿宋" w:hAnsi="仿宋" w:eastAsia="仿宋"/>
              <w:sz w:val="28"/>
              <w:szCs w:val="28"/>
            </w:rPr>
            <w:t>附表1  策勒县河流水功能区划表</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_Toc153706339 \h </w:instrText>
          </w:r>
          <w:r>
            <w:rPr>
              <w:rFonts w:ascii="仿宋" w:hAnsi="仿宋" w:eastAsia="仿宋"/>
              <w:sz w:val="28"/>
              <w:szCs w:val="28"/>
            </w:rPr>
            <w:fldChar w:fldCharType="separate"/>
          </w:r>
          <w:r>
            <w:rPr>
              <w:rFonts w:ascii="仿宋" w:hAnsi="仿宋" w:eastAsia="仿宋"/>
              <w:sz w:val="28"/>
              <w:szCs w:val="28"/>
            </w:rPr>
            <w:t>34</w:t>
          </w:r>
          <w:r>
            <w:rPr>
              <w:rFonts w:ascii="仿宋" w:hAnsi="仿宋" w:eastAsia="仿宋"/>
              <w:sz w:val="28"/>
              <w:szCs w:val="28"/>
            </w:rPr>
            <w:fldChar w:fldCharType="end"/>
          </w:r>
          <w:r>
            <w:rPr>
              <w:rFonts w:ascii="仿宋" w:hAnsi="仿宋" w:eastAsia="仿宋"/>
              <w:sz w:val="28"/>
              <w:szCs w:val="28"/>
            </w:rPr>
            <w:fldChar w:fldCharType="end"/>
          </w:r>
        </w:p>
        <w:p>
          <w:pPr>
            <w:pStyle w:val="10"/>
            <w:tabs>
              <w:tab w:val="right" w:leader="dot" w:pos="8296"/>
            </w:tabs>
            <w:rPr>
              <w:rFonts w:ascii="仿宋" w:hAnsi="仿宋" w:eastAsia="仿宋" w:cstheme="minorBidi"/>
              <w:sz w:val="28"/>
              <w:szCs w:val="28"/>
              <w14:ligatures w14:val="standardContextual"/>
            </w:rPr>
          </w:pPr>
          <w:r>
            <w:fldChar w:fldCharType="begin"/>
          </w:r>
          <w:r>
            <w:instrText xml:space="preserve"> HYPERLINK \l "_Toc153706340" </w:instrText>
          </w:r>
          <w:r>
            <w:fldChar w:fldCharType="separate"/>
          </w:r>
          <w:r>
            <w:rPr>
              <w:rStyle w:val="13"/>
              <w:rFonts w:ascii="仿宋" w:hAnsi="仿宋" w:eastAsia="仿宋"/>
              <w:sz w:val="28"/>
              <w:szCs w:val="28"/>
            </w:rPr>
            <w:t>附表2  策勒县水库水功能区划表</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_Toc153706340 \h </w:instrText>
          </w:r>
          <w:r>
            <w:rPr>
              <w:rFonts w:ascii="仿宋" w:hAnsi="仿宋" w:eastAsia="仿宋"/>
              <w:sz w:val="28"/>
              <w:szCs w:val="28"/>
            </w:rPr>
            <w:fldChar w:fldCharType="separate"/>
          </w:r>
          <w:r>
            <w:rPr>
              <w:rFonts w:ascii="仿宋" w:hAnsi="仿宋" w:eastAsia="仿宋"/>
              <w:sz w:val="28"/>
              <w:szCs w:val="28"/>
            </w:rPr>
            <w:t>42</w:t>
          </w:r>
          <w:r>
            <w:rPr>
              <w:rFonts w:ascii="仿宋" w:hAnsi="仿宋" w:eastAsia="仿宋"/>
              <w:sz w:val="28"/>
              <w:szCs w:val="28"/>
            </w:rPr>
            <w:fldChar w:fldCharType="end"/>
          </w:r>
          <w:r>
            <w:rPr>
              <w:rFonts w:ascii="仿宋" w:hAnsi="仿宋" w:eastAsia="仿宋"/>
              <w:sz w:val="28"/>
              <w:szCs w:val="28"/>
            </w:rPr>
            <w:fldChar w:fldCharType="end"/>
          </w:r>
        </w:p>
        <w:p>
          <w:pPr>
            <w:rPr>
              <w:rFonts w:ascii="仿宋" w:hAnsi="仿宋" w:eastAsia="仿宋"/>
              <w:sz w:val="28"/>
              <w:szCs w:val="28"/>
            </w:rPr>
          </w:pPr>
          <w:r>
            <w:rPr>
              <w:rFonts w:ascii="仿宋" w:hAnsi="仿宋" w:eastAsia="仿宋"/>
              <w:sz w:val="28"/>
              <w:szCs w:val="28"/>
              <w:lang w:val="zh-CN"/>
            </w:rPr>
            <w:fldChar w:fldCharType="end"/>
          </w:r>
        </w:p>
      </w:sdtContent>
    </w:sdt>
    <w:p>
      <w:pPr>
        <w:adjustRightInd w:val="0"/>
        <w:snapToGrid w:val="0"/>
        <w:spacing w:line="560" w:lineRule="exact"/>
        <w:outlineLvl w:val="0"/>
        <w:rPr>
          <w:rFonts w:ascii="Times New Roman" w:hAnsi="Times New Roman" w:eastAsia="仿宋" w:cs="Times New Roman"/>
          <w:b/>
          <w:sz w:val="32"/>
          <w:szCs w:val="32"/>
        </w:rPr>
        <w:sectPr>
          <w:headerReference r:id="rId6" w:type="first"/>
          <w:headerReference r:id="rId4" w:type="default"/>
          <w:footerReference r:id="rId7" w:type="default"/>
          <w:headerReference r:id="rId5" w:type="even"/>
          <w:pgSz w:w="11906" w:h="16838"/>
          <w:pgMar w:top="1440" w:right="1800" w:bottom="1440" w:left="1800" w:header="851" w:footer="992" w:gutter="0"/>
          <w:pgNumType w:fmt="upperRoman" w:start="1"/>
          <w:cols w:space="425" w:num="1"/>
          <w:docGrid w:type="lines" w:linePitch="312" w:charSpace="0"/>
        </w:sectPr>
      </w:pPr>
      <w:r>
        <w:rPr>
          <w:rFonts w:hint="eastAsia" w:ascii="Times New Roman" w:hAnsi="Times New Roman" w:eastAsia="仿宋" w:cs="Times New Roman"/>
          <w:b/>
          <w:sz w:val="32"/>
          <w:szCs w:val="32"/>
        </w:rPr>
        <w:tab/>
      </w:r>
    </w:p>
    <w:p>
      <w:pPr>
        <w:adjustRightInd w:val="0"/>
        <w:snapToGrid w:val="0"/>
        <w:spacing w:line="560" w:lineRule="exact"/>
        <w:outlineLvl w:val="0"/>
        <w:rPr>
          <w:rFonts w:ascii="Times New Roman" w:hAnsi="Times New Roman" w:eastAsia="仿宋" w:cs="Times New Roman"/>
          <w:b/>
          <w:sz w:val="32"/>
          <w:szCs w:val="32"/>
        </w:rPr>
      </w:pPr>
      <w:bookmarkStart w:id="0" w:name="_Toc68713470"/>
      <w:bookmarkStart w:id="1" w:name="_Toc153706314"/>
      <w:r>
        <w:rPr>
          <w:rFonts w:ascii="Times New Roman" w:hAnsi="Times New Roman" w:eastAsia="仿宋" w:cs="Times New Roman"/>
          <w:b/>
          <w:sz w:val="32"/>
          <w:szCs w:val="32"/>
        </w:rPr>
        <w:t>一、总则</w:t>
      </w:r>
      <w:bookmarkEnd w:id="0"/>
      <w:bookmarkEnd w:id="1"/>
    </w:p>
    <w:p>
      <w:pPr>
        <w:adjustRightInd w:val="0"/>
        <w:snapToGrid w:val="0"/>
        <w:spacing w:line="560" w:lineRule="exact"/>
        <w:ind w:firstLine="643" w:firstLineChars="200"/>
        <w:outlineLvl w:val="1"/>
        <w:rPr>
          <w:rFonts w:ascii="Times New Roman" w:hAnsi="Times New Roman" w:eastAsia="仿宋" w:cs="Times New Roman"/>
          <w:b/>
          <w:sz w:val="32"/>
          <w:szCs w:val="32"/>
        </w:rPr>
      </w:pPr>
      <w:bookmarkStart w:id="2" w:name="_Toc68713471"/>
      <w:bookmarkStart w:id="3" w:name="_Toc153706315"/>
      <w:r>
        <w:rPr>
          <w:rFonts w:ascii="Times New Roman" w:hAnsi="Times New Roman" w:eastAsia="仿宋" w:cs="Times New Roman"/>
          <w:b/>
          <w:sz w:val="32"/>
          <w:szCs w:val="32"/>
        </w:rPr>
        <w:t>（一）目的和意义</w:t>
      </w:r>
      <w:bookmarkEnd w:id="2"/>
      <w:bookmarkEnd w:id="3"/>
    </w:p>
    <w:p>
      <w:pPr>
        <w:spacing w:line="360" w:lineRule="auto"/>
        <w:ind w:firstLine="600" w:firstLineChars="200"/>
        <w:jc w:val="left"/>
        <w:rPr>
          <w:rFonts w:ascii="仿宋" w:hAnsi="仿宋" w:eastAsia="仿宋" w:cs="Times New Roman"/>
          <w:sz w:val="30"/>
          <w:szCs w:val="30"/>
        </w:rPr>
      </w:pPr>
      <w:r>
        <w:rPr>
          <w:rFonts w:hint="eastAsia" w:ascii="仿宋" w:hAnsi="仿宋" w:eastAsia="仿宋"/>
          <w:sz w:val="30"/>
          <w:szCs w:val="30"/>
        </w:rPr>
        <w:t>水功能区是指为满足水资源合理开发、利用、节约和保护的需求,根据水资源的自然条件和开发利用现状，按照流域综合规划、水资源与水生态系统保护和经济社会发展要求，依其主导功能划定范围并执行相应水环境质量标准的水域。</w:t>
      </w:r>
    </w:p>
    <w:p>
      <w:pPr>
        <w:spacing w:line="360" w:lineRule="auto"/>
        <w:ind w:firstLine="600" w:firstLineChars="200"/>
        <w:rPr>
          <w:rFonts w:ascii="仿宋" w:hAnsi="仿宋" w:eastAsia="仿宋"/>
          <w:sz w:val="30"/>
          <w:szCs w:val="30"/>
        </w:rPr>
      </w:pPr>
      <w:r>
        <w:rPr>
          <w:rFonts w:hint="eastAsia" w:ascii="仿宋" w:hAnsi="仿宋" w:eastAsia="仿宋"/>
          <w:sz w:val="30"/>
          <w:szCs w:val="30"/>
        </w:rPr>
        <w:t>根据策勒县水资源的自然条件和属性，按照流域综合规划、水资源保护规划及经济社会发展要求，协调水资源开发利用和保护、整体和局部的关系，合理划分水功能区，突出主体功能,实现分类指导,是水资源开发利用与保护、水环境综合治理和水污染防治等工作的重要基础。</w:t>
      </w:r>
    </w:p>
    <w:p>
      <w:pPr>
        <w:spacing w:line="560" w:lineRule="exact"/>
        <w:ind w:firstLine="600" w:firstLineChars="200"/>
        <w:rPr>
          <w:rFonts w:ascii="仿宋" w:hAnsi="仿宋" w:eastAsia="仿宋"/>
          <w:sz w:val="30"/>
          <w:szCs w:val="30"/>
        </w:rPr>
      </w:pPr>
      <w:r>
        <w:rPr>
          <w:rFonts w:hint="eastAsia" w:ascii="仿宋" w:hAnsi="仿宋" w:eastAsia="仿宋"/>
          <w:sz w:val="30"/>
          <w:szCs w:val="30"/>
        </w:rPr>
        <w:t>通过划分水功能区,从严核定水域纳污能力，提出限制排污总量意见,可为建立水功能区限制纳污制度，确立水功能区限制纳污红线提供重要支撑，有利于合理制定水资源开发利用与保护政策，调控开发强度、优化空间布局，有利于引导经济布局与水资源和水环境承载能力相适应，有利于统筹河流上下游、左右岸、省界间水资源开发利用和保护。</w:t>
      </w:r>
    </w:p>
    <w:p>
      <w:pPr>
        <w:spacing w:line="560" w:lineRule="exact"/>
        <w:ind w:firstLine="600" w:firstLineChars="200"/>
        <w:rPr>
          <w:rFonts w:ascii="Times New Roman" w:hAnsi="Times New Roman" w:eastAsia="仿宋" w:cs="Times New Roman"/>
          <w:sz w:val="30"/>
          <w:szCs w:val="30"/>
        </w:rPr>
      </w:pPr>
      <w:r>
        <w:rPr>
          <w:rFonts w:hint="eastAsia" w:ascii="仿宋" w:hAnsi="仿宋" w:eastAsia="仿宋"/>
          <w:sz w:val="30"/>
          <w:szCs w:val="30"/>
        </w:rPr>
        <w:t>根据生态环境部《关于做好入河排污口和水功能区划相关工作的通知》（环办水体〔2019〕36号），在2018年，经过机构改革，将入河排污口设置管理和编制水功能区划职责由相关部门划转至生态环境部。因此，编制策勒县水功能区划，是机构改革后，加强环境污染的管理和治理，实现从污染源到排入水体的全链条管理重要举措。</w:t>
      </w:r>
    </w:p>
    <w:p>
      <w:pPr>
        <w:adjustRightInd w:val="0"/>
        <w:snapToGrid w:val="0"/>
        <w:spacing w:line="560" w:lineRule="exact"/>
        <w:ind w:firstLine="643" w:firstLineChars="200"/>
        <w:outlineLvl w:val="1"/>
        <w:rPr>
          <w:rFonts w:ascii="Times New Roman" w:hAnsi="Times New Roman" w:eastAsia="仿宋" w:cs="Times New Roman"/>
          <w:b/>
          <w:sz w:val="32"/>
          <w:szCs w:val="32"/>
        </w:rPr>
      </w:pPr>
      <w:bookmarkStart w:id="4" w:name="_Toc153706316"/>
      <w:bookmarkStart w:id="5" w:name="_Toc68713472"/>
      <w:r>
        <w:rPr>
          <w:rFonts w:ascii="Times New Roman" w:hAnsi="Times New Roman" w:eastAsia="仿宋" w:cs="Times New Roman"/>
          <w:b/>
          <w:sz w:val="32"/>
          <w:szCs w:val="32"/>
        </w:rPr>
        <w:t>（二）划分原则</w:t>
      </w:r>
      <w:bookmarkEnd w:id="4"/>
      <w:bookmarkEnd w:id="5"/>
    </w:p>
    <w:p>
      <w:pPr>
        <w:spacing w:line="560" w:lineRule="exact"/>
        <w:ind w:firstLine="600" w:firstLineChars="200"/>
        <w:rPr>
          <w:rFonts w:ascii="Times New Roman" w:hAnsi="Times New Roman" w:eastAsia="仿宋" w:cs="Times New Roman"/>
          <w:sz w:val="30"/>
          <w:szCs w:val="30"/>
        </w:rPr>
      </w:pPr>
      <w:r>
        <w:rPr>
          <w:rFonts w:ascii="Times New Roman" w:hAnsi="Times New Roman" w:eastAsia="仿宋" w:cs="Times New Roman"/>
          <w:sz w:val="30"/>
          <w:szCs w:val="30"/>
        </w:rPr>
        <w:t>功能区划的总原则是：实事求是、科学划分、加强保护、有利管理、促进发展。</w:t>
      </w:r>
    </w:p>
    <w:p>
      <w:pPr>
        <w:spacing w:line="560" w:lineRule="exact"/>
        <w:ind w:firstLine="600" w:firstLineChars="200"/>
        <w:rPr>
          <w:rFonts w:ascii="仿宋" w:hAnsi="仿宋" w:eastAsia="仿宋"/>
          <w:sz w:val="30"/>
          <w:szCs w:val="30"/>
        </w:rPr>
      </w:pPr>
      <w:r>
        <w:rPr>
          <w:rFonts w:hint="eastAsia" w:ascii="仿宋" w:hAnsi="仿宋" w:eastAsia="仿宋"/>
          <w:sz w:val="30"/>
          <w:szCs w:val="30"/>
        </w:rPr>
        <w:t>（1）可持续发展原则</w:t>
      </w:r>
    </w:p>
    <w:p>
      <w:pPr>
        <w:spacing w:line="560" w:lineRule="exact"/>
        <w:ind w:firstLine="600" w:firstLineChars="200"/>
        <w:rPr>
          <w:rFonts w:ascii="仿宋" w:hAnsi="仿宋" w:eastAsia="仿宋"/>
          <w:sz w:val="30"/>
          <w:szCs w:val="30"/>
        </w:rPr>
      </w:pPr>
      <w:r>
        <w:rPr>
          <w:rFonts w:hint="eastAsia" w:ascii="仿宋" w:hAnsi="仿宋" w:eastAsia="仿宋"/>
          <w:sz w:val="30"/>
          <w:szCs w:val="30"/>
        </w:rPr>
        <w:t>水功能区划应与区域水资源开发利用规划及社会经济发展规划相结合，并根据水资源的可再生能力和自然环境的可承受能力，以及国家有关保护环境资源的方针政策，使水功能区划满足社会、经济持续发展需求，促进社会经济和生态的协调发展。</w:t>
      </w:r>
    </w:p>
    <w:p>
      <w:pPr>
        <w:spacing w:line="560" w:lineRule="exact"/>
        <w:ind w:firstLine="600" w:firstLineChars="200"/>
        <w:rPr>
          <w:rFonts w:ascii="仿宋" w:hAnsi="仿宋" w:eastAsia="仿宋"/>
          <w:sz w:val="30"/>
          <w:szCs w:val="30"/>
        </w:rPr>
      </w:pPr>
      <w:r>
        <w:rPr>
          <w:rFonts w:hint="eastAsia" w:ascii="仿宋" w:hAnsi="仿宋" w:eastAsia="仿宋"/>
          <w:sz w:val="30"/>
          <w:szCs w:val="30"/>
        </w:rPr>
        <w:t>（2）统筹兼顾，突出重点原则</w:t>
      </w:r>
    </w:p>
    <w:p>
      <w:pPr>
        <w:spacing w:line="560" w:lineRule="exact"/>
        <w:ind w:firstLine="600" w:firstLineChars="200"/>
        <w:rPr>
          <w:rFonts w:ascii="仿宋" w:hAnsi="仿宋" w:eastAsia="仿宋"/>
          <w:sz w:val="30"/>
          <w:szCs w:val="30"/>
        </w:rPr>
      </w:pPr>
      <w:r>
        <w:rPr>
          <w:rFonts w:hint="eastAsia" w:ascii="仿宋" w:hAnsi="仿宋" w:eastAsia="仿宋"/>
          <w:sz w:val="30"/>
          <w:szCs w:val="30"/>
        </w:rPr>
        <w:t>水功能区划应兼顾上下游、干支流、左右岸、行政区域间、近远期社会经济发展需要。在划定水功能区的范围和类型时，优先保护城市集中供水水源地、自然保护区用水水域、大型调水工程水源区。</w:t>
      </w:r>
    </w:p>
    <w:p>
      <w:pPr>
        <w:spacing w:line="560" w:lineRule="exact"/>
        <w:ind w:firstLine="600" w:firstLineChars="200"/>
        <w:rPr>
          <w:rFonts w:ascii="仿宋" w:hAnsi="仿宋" w:eastAsia="仿宋"/>
          <w:sz w:val="30"/>
          <w:szCs w:val="30"/>
        </w:rPr>
      </w:pPr>
      <w:r>
        <w:rPr>
          <w:rFonts w:hint="eastAsia" w:ascii="仿宋" w:hAnsi="仿宋" w:eastAsia="仿宋"/>
          <w:sz w:val="30"/>
          <w:szCs w:val="30"/>
        </w:rPr>
        <w:t>（3）前瞻性和实用可行相结合原则</w:t>
      </w:r>
    </w:p>
    <w:p>
      <w:pPr>
        <w:spacing w:line="560" w:lineRule="exact"/>
        <w:ind w:firstLine="600" w:firstLineChars="200"/>
        <w:rPr>
          <w:rFonts w:ascii="Times New Roman" w:hAnsi="Times New Roman" w:eastAsia="仿宋" w:cs="Times New Roman"/>
          <w:sz w:val="32"/>
          <w:szCs w:val="32"/>
        </w:rPr>
      </w:pPr>
      <w:r>
        <w:rPr>
          <w:rFonts w:hint="eastAsia" w:ascii="仿宋" w:hAnsi="仿宋" w:eastAsia="仿宋"/>
          <w:sz w:val="30"/>
          <w:szCs w:val="30"/>
        </w:rPr>
        <w:t>水功能区划要体现社会发展的超前意识，结合未来社会发展需求划定水功能区，为将来社会经济发展需求留有余地。水功能区的分区界限，尽可能与行政区界一致，以便管理。水功能区划是水资源保护规划的基础，区划方案的确定不仅要反映实际需求，还要考虑技术和经济发展，切实可行。</w:t>
      </w:r>
    </w:p>
    <w:p>
      <w:pPr>
        <w:spacing w:line="560" w:lineRule="exact"/>
        <w:ind w:firstLine="600" w:firstLineChars="200"/>
        <w:rPr>
          <w:rFonts w:ascii="仿宋" w:hAnsi="仿宋" w:eastAsia="仿宋"/>
          <w:sz w:val="30"/>
          <w:szCs w:val="30"/>
        </w:rPr>
      </w:pPr>
      <w:r>
        <w:rPr>
          <w:rFonts w:hint="eastAsia" w:ascii="仿宋" w:hAnsi="仿宋" w:eastAsia="仿宋"/>
          <w:sz w:val="30"/>
          <w:szCs w:val="30"/>
        </w:rPr>
        <w:t>（4）水质水量并重原则</w:t>
      </w:r>
    </w:p>
    <w:p>
      <w:pPr>
        <w:spacing w:line="560" w:lineRule="exact"/>
        <w:ind w:firstLine="600" w:firstLineChars="200"/>
        <w:rPr>
          <w:rFonts w:ascii="仿宋" w:hAnsi="仿宋" w:eastAsia="仿宋"/>
          <w:kern w:val="0"/>
          <w:sz w:val="30"/>
          <w:szCs w:val="30"/>
        </w:rPr>
      </w:pPr>
      <w:r>
        <w:rPr>
          <w:rFonts w:hint="eastAsia" w:ascii="仿宋" w:hAnsi="仿宋" w:eastAsia="仿宋"/>
          <w:sz w:val="30"/>
          <w:szCs w:val="30"/>
        </w:rPr>
        <w:t>水功能区划既要考虑水资源开发利用对水量的需求，又要从分区类型划分上考虑其对水质的要求。划分水功能区，确定其功能和水质保护目标，不得低于现状功能和现状水质。要综合考虑江河湖库的自然条件、开发利用现状及污染程度，合理利用水环境容量。对水质水量要求不明确，或仅对水量有要求的，不予单独区划。</w:t>
      </w:r>
    </w:p>
    <w:p>
      <w:pPr>
        <w:spacing w:line="560" w:lineRule="exact"/>
        <w:ind w:firstLine="600" w:firstLineChars="200"/>
        <w:rPr>
          <w:rFonts w:ascii="仿宋" w:hAnsi="仿宋" w:eastAsia="仿宋"/>
          <w:sz w:val="30"/>
          <w:szCs w:val="30"/>
        </w:rPr>
      </w:pPr>
      <w:r>
        <w:rPr>
          <w:rFonts w:hint="eastAsia" w:ascii="仿宋" w:hAnsi="仿宋" w:eastAsia="仿宋"/>
          <w:sz w:val="30"/>
          <w:szCs w:val="30"/>
        </w:rPr>
        <w:t>（5）以主导功能为主的原则</w:t>
      </w:r>
    </w:p>
    <w:p>
      <w:pPr>
        <w:spacing w:line="560" w:lineRule="exact"/>
        <w:ind w:firstLine="600" w:firstLineChars="200"/>
        <w:rPr>
          <w:rFonts w:ascii="Times New Roman" w:hAnsi="Times New Roman" w:eastAsia="仿宋" w:cs="Times New Roman"/>
          <w:sz w:val="32"/>
          <w:szCs w:val="32"/>
        </w:rPr>
      </w:pPr>
      <w:r>
        <w:rPr>
          <w:rFonts w:hint="eastAsia" w:ascii="仿宋" w:hAnsi="仿宋" w:eastAsia="仿宋"/>
          <w:sz w:val="30"/>
          <w:szCs w:val="30"/>
        </w:rPr>
        <w:t>水功能类型的确定以主导功能为主，兼顾其他功能。在有两种以上用水功能时，按功能主要性排序，确定主导</w:t>
      </w:r>
      <w:r>
        <w:rPr>
          <w:rFonts w:hint="eastAsia" w:ascii="仿宋" w:hAnsi="仿宋" w:eastAsia="仿宋"/>
          <w:kern w:val="0"/>
          <w:sz w:val="30"/>
          <w:szCs w:val="30"/>
        </w:rPr>
        <w:t>功能。</w:t>
      </w:r>
    </w:p>
    <w:p>
      <w:pPr>
        <w:adjustRightInd w:val="0"/>
        <w:snapToGrid w:val="0"/>
        <w:spacing w:line="560" w:lineRule="exact"/>
        <w:ind w:firstLine="643" w:firstLineChars="200"/>
        <w:outlineLvl w:val="1"/>
        <w:rPr>
          <w:rFonts w:ascii="Times New Roman" w:hAnsi="Times New Roman" w:eastAsia="仿宋"/>
          <w:b/>
          <w:bCs/>
          <w:sz w:val="32"/>
          <w:szCs w:val="32"/>
        </w:rPr>
      </w:pPr>
      <w:bookmarkStart w:id="6" w:name="_Toc68713473"/>
      <w:bookmarkStart w:id="7" w:name="_Toc153706317"/>
      <w:r>
        <w:rPr>
          <w:rFonts w:ascii="仿宋" w:hAnsi="仿宋" w:eastAsia="仿宋"/>
          <w:b/>
          <w:bCs/>
          <w:sz w:val="32"/>
          <w:szCs w:val="32"/>
        </w:rPr>
        <w:t>（三）编制依据和标准</w:t>
      </w:r>
      <w:bookmarkEnd w:id="6"/>
      <w:bookmarkEnd w:id="7"/>
    </w:p>
    <w:p>
      <w:pPr>
        <w:widowControl/>
        <w:shd w:val="clear" w:color="auto" w:fill="FFFFFF"/>
        <w:snapToGrid w:val="0"/>
        <w:spacing w:line="560" w:lineRule="exact"/>
        <w:ind w:firstLine="602" w:firstLineChars="200"/>
        <w:contextualSpacing/>
        <w:jc w:val="left"/>
        <w:rPr>
          <w:rFonts w:ascii="Times New Roman" w:hAnsi="Times New Roman" w:eastAsia="仿宋"/>
          <w:kern w:val="0"/>
          <w:sz w:val="30"/>
          <w:szCs w:val="30"/>
        </w:rPr>
      </w:pPr>
      <w:r>
        <w:rPr>
          <w:rFonts w:ascii="Times New Roman" w:hAnsi="Times New Roman" w:eastAsia="仿宋"/>
          <w:b/>
          <w:bCs/>
          <w:kern w:val="0"/>
          <w:sz w:val="30"/>
          <w:szCs w:val="30"/>
        </w:rPr>
        <w:t>1</w:t>
      </w:r>
      <w:r>
        <w:rPr>
          <w:rFonts w:ascii="仿宋" w:hAnsi="仿宋" w:eastAsia="仿宋"/>
          <w:b/>
          <w:bCs/>
          <w:kern w:val="0"/>
          <w:sz w:val="30"/>
          <w:szCs w:val="30"/>
        </w:rPr>
        <w:t>、</w:t>
      </w:r>
      <w:r>
        <w:rPr>
          <w:rFonts w:hint="eastAsia" w:ascii="仿宋" w:hAnsi="仿宋" w:eastAsia="仿宋"/>
          <w:b/>
          <w:bCs/>
          <w:kern w:val="0"/>
          <w:sz w:val="30"/>
          <w:szCs w:val="30"/>
        </w:rPr>
        <w:t>法律</w:t>
      </w:r>
      <w:r>
        <w:rPr>
          <w:rFonts w:ascii="仿宋" w:hAnsi="仿宋" w:eastAsia="仿宋"/>
          <w:b/>
          <w:bCs/>
          <w:kern w:val="0"/>
          <w:sz w:val="30"/>
          <w:szCs w:val="30"/>
        </w:rPr>
        <w:t>法规</w:t>
      </w:r>
    </w:p>
    <w:p>
      <w:pPr>
        <w:widowControl/>
        <w:shd w:val="clear" w:color="auto" w:fill="FFFFFF"/>
        <w:snapToGrid w:val="0"/>
        <w:spacing w:line="560" w:lineRule="exact"/>
        <w:ind w:firstLine="600" w:firstLineChars="200"/>
        <w:contextualSpacing/>
        <w:jc w:val="left"/>
        <w:rPr>
          <w:rFonts w:ascii="Times New Roman" w:hAnsi="Times New Roman" w:eastAsia="仿宋"/>
          <w:kern w:val="0"/>
          <w:sz w:val="30"/>
          <w:szCs w:val="30"/>
        </w:rPr>
      </w:pPr>
      <w:r>
        <w:rPr>
          <w:rFonts w:ascii="仿宋" w:hAnsi="仿宋" w:eastAsia="仿宋"/>
          <w:kern w:val="0"/>
          <w:sz w:val="30"/>
          <w:szCs w:val="30"/>
        </w:rPr>
        <w:t>（</w:t>
      </w:r>
      <w:r>
        <w:rPr>
          <w:rFonts w:ascii="Times New Roman" w:hAnsi="Times New Roman" w:eastAsia="仿宋"/>
          <w:kern w:val="0"/>
          <w:sz w:val="30"/>
          <w:szCs w:val="30"/>
        </w:rPr>
        <w:t>1</w:t>
      </w:r>
      <w:r>
        <w:rPr>
          <w:rFonts w:ascii="仿宋" w:hAnsi="仿宋" w:eastAsia="仿宋"/>
          <w:kern w:val="0"/>
          <w:sz w:val="30"/>
          <w:szCs w:val="30"/>
        </w:rPr>
        <w:t>）《中华人民共和国环境保护法》</w:t>
      </w:r>
      <w:r>
        <w:rPr>
          <w:rFonts w:hint="eastAsia" w:ascii="仿宋" w:hAnsi="仿宋" w:eastAsia="仿宋"/>
          <w:kern w:val="0"/>
          <w:sz w:val="30"/>
          <w:szCs w:val="30"/>
        </w:rPr>
        <w:t>，</w:t>
      </w:r>
      <w:r>
        <w:rPr>
          <w:rFonts w:hint="eastAsia" w:ascii="Times New Roman" w:hAnsi="Times New Roman" w:eastAsia="仿宋"/>
          <w:kern w:val="0"/>
          <w:sz w:val="30"/>
          <w:szCs w:val="30"/>
        </w:rPr>
        <w:t>2014</w:t>
      </w:r>
      <w:r>
        <w:rPr>
          <w:rFonts w:ascii="仿宋" w:hAnsi="仿宋" w:eastAsia="仿宋"/>
          <w:kern w:val="0"/>
          <w:sz w:val="30"/>
          <w:szCs w:val="30"/>
        </w:rPr>
        <w:t>；</w:t>
      </w:r>
    </w:p>
    <w:p>
      <w:pPr>
        <w:widowControl/>
        <w:shd w:val="clear" w:color="auto" w:fill="FFFFFF"/>
        <w:snapToGrid w:val="0"/>
        <w:spacing w:line="560" w:lineRule="exact"/>
        <w:ind w:firstLine="600" w:firstLineChars="200"/>
        <w:contextualSpacing/>
        <w:jc w:val="left"/>
        <w:rPr>
          <w:rFonts w:ascii="Times New Roman" w:hAnsi="Times New Roman" w:eastAsia="仿宋"/>
          <w:kern w:val="0"/>
          <w:sz w:val="30"/>
          <w:szCs w:val="30"/>
        </w:rPr>
      </w:pPr>
      <w:r>
        <w:rPr>
          <w:rFonts w:ascii="仿宋" w:hAnsi="仿宋" w:eastAsia="仿宋"/>
          <w:kern w:val="0"/>
          <w:sz w:val="30"/>
          <w:szCs w:val="30"/>
        </w:rPr>
        <w:t>（</w:t>
      </w:r>
      <w:r>
        <w:rPr>
          <w:rFonts w:ascii="Times New Roman" w:hAnsi="Times New Roman" w:eastAsia="仿宋"/>
          <w:kern w:val="0"/>
          <w:sz w:val="30"/>
          <w:szCs w:val="30"/>
        </w:rPr>
        <w:t>2</w:t>
      </w:r>
      <w:r>
        <w:rPr>
          <w:rFonts w:ascii="仿宋" w:hAnsi="仿宋" w:eastAsia="仿宋"/>
          <w:kern w:val="0"/>
          <w:sz w:val="30"/>
          <w:szCs w:val="30"/>
        </w:rPr>
        <w:t>）《中华人民共和国水污染防治法》</w:t>
      </w:r>
      <w:r>
        <w:rPr>
          <w:rFonts w:hint="eastAsia" w:ascii="仿宋" w:hAnsi="仿宋" w:eastAsia="仿宋"/>
          <w:kern w:val="0"/>
          <w:sz w:val="30"/>
          <w:szCs w:val="30"/>
        </w:rPr>
        <w:t>，</w:t>
      </w:r>
      <w:r>
        <w:rPr>
          <w:rFonts w:hint="eastAsia" w:ascii="Times New Roman" w:hAnsi="Times New Roman" w:eastAsia="仿宋"/>
          <w:kern w:val="0"/>
          <w:sz w:val="30"/>
          <w:szCs w:val="30"/>
        </w:rPr>
        <w:t>2017</w:t>
      </w:r>
      <w:r>
        <w:rPr>
          <w:rFonts w:ascii="仿宋" w:hAnsi="仿宋" w:eastAsia="仿宋"/>
          <w:kern w:val="0"/>
          <w:sz w:val="30"/>
          <w:szCs w:val="30"/>
        </w:rPr>
        <w:t>；</w:t>
      </w:r>
    </w:p>
    <w:p>
      <w:pPr>
        <w:widowControl/>
        <w:shd w:val="clear" w:color="auto" w:fill="FFFFFF"/>
        <w:snapToGrid w:val="0"/>
        <w:spacing w:line="560" w:lineRule="exact"/>
        <w:ind w:firstLine="600" w:firstLineChars="200"/>
        <w:contextualSpacing/>
        <w:jc w:val="left"/>
        <w:rPr>
          <w:rFonts w:ascii="Times New Roman" w:hAnsi="Times New Roman" w:eastAsia="仿宋"/>
          <w:kern w:val="0"/>
          <w:sz w:val="30"/>
          <w:szCs w:val="30"/>
        </w:rPr>
      </w:pPr>
      <w:r>
        <w:rPr>
          <w:rFonts w:ascii="仿宋" w:hAnsi="仿宋" w:eastAsia="仿宋"/>
          <w:kern w:val="0"/>
          <w:sz w:val="30"/>
          <w:szCs w:val="30"/>
        </w:rPr>
        <w:t>（</w:t>
      </w:r>
      <w:r>
        <w:rPr>
          <w:rFonts w:hint="eastAsia" w:ascii="Times New Roman" w:hAnsi="Times New Roman" w:eastAsia="仿宋"/>
          <w:kern w:val="0"/>
          <w:sz w:val="30"/>
          <w:szCs w:val="30"/>
        </w:rPr>
        <w:t>3</w:t>
      </w:r>
      <w:r>
        <w:rPr>
          <w:rFonts w:ascii="仿宋" w:hAnsi="仿宋" w:eastAsia="仿宋"/>
          <w:kern w:val="0"/>
          <w:sz w:val="30"/>
          <w:szCs w:val="30"/>
        </w:rPr>
        <w:t>）</w:t>
      </w:r>
      <w:r>
        <w:rPr>
          <w:rFonts w:hint="eastAsia" w:ascii="仿宋" w:hAnsi="仿宋" w:eastAsia="仿宋"/>
          <w:kern w:val="0"/>
          <w:sz w:val="30"/>
          <w:szCs w:val="30"/>
        </w:rPr>
        <w:t>《中华人民共和国水法》，</w:t>
      </w:r>
      <w:r>
        <w:rPr>
          <w:rFonts w:hint="eastAsia" w:ascii="Times New Roman" w:hAnsi="Times New Roman" w:eastAsia="仿宋"/>
          <w:kern w:val="0"/>
          <w:sz w:val="30"/>
          <w:szCs w:val="30"/>
        </w:rPr>
        <w:t>2016</w:t>
      </w:r>
      <w:r>
        <w:rPr>
          <w:rFonts w:ascii="仿宋" w:hAnsi="仿宋" w:eastAsia="仿宋"/>
          <w:kern w:val="0"/>
          <w:sz w:val="30"/>
          <w:szCs w:val="30"/>
        </w:rPr>
        <w:t>；</w:t>
      </w:r>
    </w:p>
    <w:p>
      <w:pPr>
        <w:widowControl/>
        <w:shd w:val="clear" w:color="auto" w:fill="FFFFFF"/>
        <w:snapToGrid w:val="0"/>
        <w:spacing w:line="560" w:lineRule="exact"/>
        <w:ind w:firstLine="600" w:firstLineChars="200"/>
        <w:contextualSpacing/>
        <w:jc w:val="left"/>
        <w:rPr>
          <w:rFonts w:ascii="Times New Roman" w:hAnsi="Times New Roman" w:eastAsia="仿宋"/>
          <w:kern w:val="0"/>
          <w:sz w:val="30"/>
          <w:szCs w:val="30"/>
        </w:rPr>
      </w:pPr>
      <w:r>
        <w:rPr>
          <w:rFonts w:ascii="仿宋" w:hAnsi="仿宋" w:eastAsia="仿宋"/>
          <w:kern w:val="0"/>
          <w:sz w:val="30"/>
          <w:szCs w:val="30"/>
        </w:rPr>
        <w:t>（</w:t>
      </w:r>
      <w:r>
        <w:rPr>
          <w:rFonts w:hint="eastAsia" w:ascii="Times New Roman" w:hAnsi="Times New Roman" w:eastAsia="仿宋"/>
          <w:kern w:val="0"/>
          <w:sz w:val="30"/>
          <w:szCs w:val="30"/>
        </w:rPr>
        <w:t>4</w:t>
      </w:r>
      <w:r>
        <w:rPr>
          <w:rFonts w:ascii="仿宋" w:hAnsi="仿宋" w:eastAsia="仿宋"/>
          <w:kern w:val="0"/>
          <w:sz w:val="30"/>
          <w:szCs w:val="30"/>
        </w:rPr>
        <w:t>）</w:t>
      </w:r>
      <w:r>
        <w:rPr>
          <w:rFonts w:hint="eastAsia" w:ascii="仿宋" w:hAnsi="仿宋" w:eastAsia="仿宋"/>
          <w:kern w:val="0"/>
          <w:sz w:val="30"/>
          <w:szCs w:val="30"/>
        </w:rPr>
        <w:t>《中华人民共和国河道管理条例》，</w:t>
      </w:r>
      <w:r>
        <w:rPr>
          <w:rFonts w:hint="eastAsia" w:ascii="Times New Roman" w:hAnsi="Times New Roman" w:eastAsia="仿宋"/>
          <w:kern w:val="0"/>
          <w:sz w:val="30"/>
          <w:szCs w:val="30"/>
        </w:rPr>
        <w:t>2011</w:t>
      </w:r>
      <w:r>
        <w:rPr>
          <w:rFonts w:ascii="仿宋" w:hAnsi="仿宋" w:eastAsia="仿宋"/>
          <w:kern w:val="0"/>
          <w:sz w:val="30"/>
          <w:szCs w:val="30"/>
        </w:rPr>
        <w:t>；</w:t>
      </w:r>
    </w:p>
    <w:p>
      <w:pPr>
        <w:widowControl/>
        <w:shd w:val="clear" w:color="auto" w:fill="FFFFFF"/>
        <w:snapToGrid w:val="0"/>
        <w:spacing w:line="560" w:lineRule="exact"/>
        <w:ind w:firstLine="600" w:firstLineChars="200"/>
        <w:contextualSpacing/>
        <w:jc w:val="left"/>
        <w:rPr>
          <w:rFonts w:ascii="宋体" w:hAnsi="宋体" w:eastAsia="宋体"/>
          <w:szCs w:val="21"/>
          <w:shd w:val="clear" w:color="auto" w:fill="FFFFFF"/>
        </w:rPr>
      </w:pPr>
      <w:r>
        <w:rPr>
          <w:rFonts w:ascii="仿宋" w:hAnsi="仿宋" w:eastAsia="仿宋"/>
          <w:kern w:val="0"/>
          <w:sz w:val="30"/>
          <w:szCs w:val="30"/>
        </w:rPr>
        <w:t>（</w:t>
      </w:r>
      <w:r>
        <w:rPr>
          <w:rFonts w:hint="eastAsia" w:ascii="Times New Roman" w:hAnsi="Times New Roman" w:eastAsia="仿宋"/>
          <w:kern w:val="0"/>
          <w:sz w:val="30"/>
          <w:szCs w:val="30"/>
        </w:rPr>
        <w:t>5</w:t>
      </w:r>
      <w:r>
        <w:rPr>
          <w:rFonts w:ascii="仿宋" w:hAnsi="仿宋" w:eastAsia="仿宋"/>
          <w:kern w:val="0"/>
          <w:sz w:val="30"/>
          <w:szCs w:val="30"/>
        </w:rPr>
        <w:t>）</w:t>
      </w:r>
      <w:r>
        <w:rPr>
          <w:rFonts w:hint="eastAsia" w:ascii="仿宋" w:hAnsi="仿宋" w:eastAsia="仿宋"/>
          <w:kern w:val="0"/>
          <w:sz w:val="30"/>
          <w:szCs w:val="30"/>
        </w:rPr>
        <w:t>《中华人民共和国水土保持法》，</w:t>
      </w:r>
      <w:r>
        <w:rPr>
          <w:rFonts w:hint="eastAsia" w:ascii="Times New Roman" w:hAnsi="Times New Roman" w:eastAsia="仿宋"/>
          <w:kern w:val="0"/>
          <w:sz w:val="30"/>
          <w:szCs w:val="30"/>
        </w:rPr>
        <w:t>2010。</w:t>
      </w:r>
    </w:p>
    <w:p>
      <w:pPr>
        <w:spacing w:line="560" w:lineRule="exact"/>
        <w:ind w:firstLine="602" w:firstLineChars="200"/>
        <w:rPr>
          <w:rFonts w:ascii="Times New Roman" w:hAnsi="Times New Roman" w:eastAsia="仿宋"/>
          <w:b/>
          <w:bCs/>
          <w:sz w:val="30"/>
          <w:szCs w:val="30"/>
        </w:rPr>
      </w:pPr>
      <w:r>
        <w:rPr>
          <w:rFonts w:ascii="Times New Roman" w:hAnsi="Times New Roman" w:eastAsia="仿宋"/>
          <w:b/>
          <w:bCs/>
          <w:sz w:val="30"/>
          <w:szCs w:val="30"/>
        </w:rPr>
        <w:t>2</w:t>
      </w:r>
      <w:r>
        <w:rPr>
          <w:rFonts w:ascii="仿宋" w:hAnsi="仿宋" w:eastAsia="仿宋"/>
          <w:b/>
          <w:bCs/>
          <w:sz w:val="30"/>
          <w:szCs w:val="30"/>
        </w:rPr>
        <w:t>、标准</w:t>
      </w:r>
    </w:p>
    <w:p>
      <w:pPr>
        <w:widowControl/>
        <w:shd w:val="clear" w:color="auto" w:fill="FFFFFF"/>
        <w:snapToGrid w:val="0"/>
        <w:spacing w:line="560" w:lineRule="exact"/>
        <w:ind w:firstLine="600" w:firstLineChars="200"/>
        <w:contextualSpacing/>
        <w:jc w:val="left"/>
        <w:rPr>
          <w:rFonts w:ascii="Times New Roman" w:hAnsi="Times New Roman" w:eastAsia="仿宋"/>
          <w:kern w:val="0"/>
          <w:sz w:val="30"/>
          <w:szCs w:val="30"/>
        </w:rPr>
      </w:pPr>
      <w:r>
        <w:rPr>
          <w:rFonts w:hint="eastAsia" w:ascii="仿宋" w:hAnsi="仿宋" w:eastAsia="仿宋"/>
          <w:kern w:val="0"/>
          <w:sz w:val="30"/>
          <w:szCs w:val="30"/>
        </w:rPr>
        <w:t>（</w:t>
      </w:r>
      <w:r>
        <w:rPr>
          <w:rFonts w:hint="eastAsia" w:ascii="Times New Roman" w:hAnsi="Times New Roman" w:eastAsia="仿宋"/>
          <w:kern w:val="0"/>
          <w:sz w:val="30"/>
          <w:szCs w:val="30"/>
        </w:rPr>
        <w:t>1</w:t>
      </w:r>
      <w:r>
        <w:rPr>
          <w:rFonts w:hint="eastAsia" w:ascii="仿宋" w:hAnsi="仿宋" w:eastAsia="仿宋"/>
          <w:kern w:val="0"/>
          <w:sz w:val="30"/>
          <w:szCs w:val="30"/>
        </w:rPr>
        <w:t>）《船舶水污染物排放控制标准</w:t>
      </w:r>
      <w:r>
        <w:rPr>
          <w:rFonts w:hint="eastAsia" w:ascii="Times New Roman" w:hAnsi="Times New Roman" w:eastAsia="仿宋"/>
          <w:kern w:val="0"/>
          <w:sz w:val="30"/>
          <w:szCs w:val="30"/>
        </w:rPr>
        <w:t>GB3552-2018</w:t>
      </w:r>
      <w:r>
        <w:rPr>
          <w:rFonts w:hint="eastAsia" w:ascii="仿宋" w:hAnsi="仿宋" w:eastAsia="仿宋"/>
          <w:kern w:val="0"/>
          <w:sz w:val="30"/>
          <w:szCs w:val="30"/>
        </w:rPr>
        <w:t>》</w:t>
      </w:r>
    </w:p>
    <w:p>
      <w:pPr>
        <w:widowControl/>
        <w:shd w:val="clear" w:color="auto" w:fill="FFFFFF"/>
        <w:snapToGrid w:val="0"/>
        <w:spacing w:line="560" w:lineRule="exact"/>
        <w:ind w:firstLine="600" w:firstLineChars="200"/>
        <w:contextualSpacing/>
        <w:jc w:val="left"/>
        <w:rPr>
          <w:rFonts w:ascii="Times New Roman" w:hAnsi="Times New Roman" w:eastAsia="仿宋"/>
          <w:kern w:val="0"/>
          <w:sz w:val="30"/>
          <w:szCs w:val="30"/>
        </w:rPr>
      </w:pPr>
      <w:r>
        <w:rPr>
          <w:rFonts w:hint="eastAsia" w:ascii="仿宋" w:hAnsi="仿宋" w:eastAsia="仿宋"/>
          <w:kern w:val="0"/>
          <w:sz w:val="30"/>
          <w:szCs w:val="30"/>
        </w:rPr>
        <w:t>（</w:t>
      </w:r>
      <w:r>
        <w:rPr>
          <w:rFonts w:hint="eastAsia" w:ascii="Times New Roman" w:hAnsi="Times New Roman" w:eastAsia="仿宋"/>
          <w:kern w:val="0"/>
          <w:sz w:val="30"/>
          <w:szCs w:val="30"/>
        </w:rPr>
        <w:t>2</w:t>
      </w:r>
      <w:r>
        <w:rPr>
          <w:rFonts w:hint="eastAsia" w:ascii="仿宋" w:hAnsi="仿宋" w:eastAsia="仿宋"/>
          <w:kern w:val="0"/>
          <w:sz w:val="30"/>
          <w:szCs w:val="30"/>
        </w:rPr>
        <w:t>）</w:t>
      </w:r>
      <w:r>
        <w:rPr>
          <w:rFonts w:ascii="仿宋" w:hAnsi="仿宋" w:eastAsia="仿宋"/>
          <w:kern w:val="0"/>
          <w:sz w:val="30"/>
          <w:szCs w:val="30"/>
        </w:rPr>
        <w:t>《地下水质量标准</w:t>
      </w:r>
      <w:r>
        <w:rPr>
          <w:rFonts w:ascii="Times New Roman" w:hAnsi="Times New Roman" w:eastAsia="仿宋"/>
          <w:kern w:val="0"/>
          <w:sz w:val="30"/>
          <w:szCs w:val="30"/>
        </w:rPr>
        <w:t>GB/T14848-</w:t>
      </w:r>
      <w:r>
        <w:rPr>
          <w:rFonts w:hint="eastAsia" w:ascii="Times New Roman" w:hAnsi="Times New Roman" w:eastAsia="仿宋"/>
          <w:kern w:val="0"/>
          <w:sz w:val="30"/>
          <w:szCs w:val="30"/>
        </w:rPr>
        <w:t>2017</w:t>
      </w:r>
      <w:r>
        <w:rPr>
          <w:rFonts w:ascii="仿宋" w:hAnsi="仿宋" w:eastAsia="仿宋"/>
          <w:kern w:val="0"/>
          <w:sz w:val="30"/>
          <w:szCs w:val="30"/>
        </w:rPr>
        <w:t>》</w:t>
      </w:r>
      <w:r>
        <w:rPr>
          <w:rFonts w:hint="eastAsia" w:ascii="仿宋" w:hAnsi="仿宋" w:eastAsia="仿宋"/>
          <w:kern w:val="0"/>
          <w:sz w:val="30"/>
          <w:szCs w:val="30"/>
        </w:rPr>
        <w:t>；</w:t>
      </w:r>
    </w:p>
    <w:p>
      <w:pPr>
        <w:widowControl/>
        <w:shd w:val="clear" w:color="auto" w:fill="FFFFFF"/>
        <w:snapToGrid w:val="0"/>
        <w:spacing w:line="560" w:lineRule="exact"/>
        <w:ind w:firstLine="600" w:firstLineChars="200"/>
        <w:contextualSpacing/>
        <w:jc w:val="left"/>
        <w:rPr>
          <w:rFonts w:ascii="Times New Roman" w:hAnsi="Times New Roman" w:eastAsia="仿宋"/>
          <w:kern w:val="0"/>
          <w:sz w:val="30"/>
          <w:szCs w:val="30"/>
        </w:rPr>
      </w:pPr>
      <w:r>
        <w:rPr>
          <w:rFonts w:hint="eastAsia" w:ascii="仿宋" w:hAnsi="仿宋" w:eastAsia="仿宋"/>
          <w:kern w:val="0"/>
          <w:sz w:val="30"/>
          <w:szCs w:val="30"/>
        </w:rPr>
        <w:t>（</w:t>
      </w:r>
      <w:r>
        <w:rPr>
          <w:rFonts w:hint="eastAsia" w:ascii="Times New Roman" w:hAnsi="Times New Roman" w:eastAsia="仿宋"/>
          <w:kern w:val="0"/>
          <w:sz w:val="30"/>
          <w:szCs w:val="30"/>
        </w:rPr>
        <w:t>3</w:t>
      </w:r>
      <w:r>
        <w:rPr>
          <w:rFonts w:hint="eastAsia" w:ascii="仿宋" w:hAnsi="仿宋" w:eastAsia="仿宋"/>
          <w:kern w:val="0"/>
          <w:sz w:val="30"/>
          <w:szCs w:val="30"/>
        </w:rPr>
        <w:t>）《城镇污水处理厂污染物排放标准</w:t>
      </w:r>
      <w:r>
        <w:rPr>
          <w:rFonts w:hint="eastAsia" w:ascii="Times New Roman" w:hAnsi="Times New Roman" w:eastAsia="仿宋"/>
          <w:kern w:val="0"/>
          <w:sz w:val="30"/>
          <w:szCs w:val="30"/>
        </w:rPr>
        <w:t>CB18918-2002</w:t>
      </w:r>
      <w:r>
        <w:rPr>
          <w:rFonts w:ascii="仿宋" w:hAnsi="仿宋" w:eastAsia="仿宋"/>
          <w:kern w:val="0"/>
          <w:sz w:val="30"/>
          <w:szCs w:val="30"/>
        </w:rPr>
        <w:t>》</w:t>
      </w:r>
      <w:r>
        <w:rPr>
          <w:rFonts w:hint="eastAsia" w:ascii="仿宋" w:hAnsi="仿宋" w:eastAsia="仿宋"/>
          <w:kern w:val="0"/>
          <w:sz w:val="30"/>
          <w:szCs w:val="30"/>
        </w:rPr>
        <w:t>；</w:t>
      </w:r>
    </w:p>
    <w:p>
      <w:pPr>
        <w:widowControl/>
        <w:shd w:val="clear" w:color="auto" w:fill="FFFFFF"/>
        <w:snapToGrid w:val="0"/>
        <w:spacing w:line="560" w:lineRule="exact"/>
        <w:ind w:firstLine="600" w:firstLineChars="200"/>
        <w:contextualSpacing/>
        <w:jc w:val="left"/>
        <w:rPr>
          <w:rFonts w:ascii="Times New Roman" w:hAnsi="Times New Roman" w:eastAsia="仿宋"/>
          <w:kern w:val="0"/>
          <w:sz w:val="30"/>
          <w:szCs w:val="30"/>
        </w:rPr>
      </w:pPr>
      <w:r>
        <w:rPr>
          <w:rFonts w:hint="eastAsia" w:ascii="仿宋" w:hAnsi="仿宋" w:eastAsia="仿宋"/>
          <w:kern w:val="0"/>
          <w:sz w:val="30"/>
          <w:szCs w:val="30"/>
        </w:rPr>
        <w:t>（</w:t>
      </w:r>
      <w:r>
        <w:rPr>
          <w:rFonts w:hint="eastAsia" w:ascii="Times New Roman" w:hAnsi="Times New Roman" w:eastAsia="仿宋"/>
          <w:kern w:val="0"/>
          <w:sz w:val="30"/>
          <w:szCs w:val="30"/>
        </w:rPr>
        <w:t>4</w:t>
      </w:r>
      <w:r>
        <w:rPr>
          <w:rFonts w:hint="eastAsia" w:ascii="仿宋" w:hAnsi="仿宋" w:eastAsia="仿宋"/>
          <w:kern w:val="0"/>
          <w:sz w:val="30"/>
          <w:szCs w:val="30"/>
        </w:rPr>
        <w:t>）《畜禽养殖业污染物排放标准</w:t>
      </w:r>
      <w:r>
        <w:rPr>
          <w:rFonts w:hint="eastAsia" w:ascii="Times New Roman" w:hAnsi="Times New Roman" w:eastAsia="仿宋"/>
          <w:kern w:val="0"/>
          <w:sz w:val="30"/>
          <w:szCs w:val="30"/>
        </w:rPr>
        <w:t>CB18596-2001</w:t>
      </w:r>
      <w:r>
        <w:rPr>
          <w:rFonts w:hint="eastAsia" w:ascii="仿宋" w:hAnsi="仿宋" w:eastAsia="仿宋"/>
          <w:kern w:val="0"/>
          <w:sz w:val="30"/>
          <w:szCs w:val="30"/>
        </w:rPr>
        <w:t>》；</w:t>
      </w:r>
    </w:p>
    <w:p>
      <w:pPr>
        <w:widowControl/>
        <w:shd w:val="clear" w:color="auto" w:fill="FFFFFF"/>
        <w:snapToGrid w:val="0"/>
        <w:spacing w:line="560" w:lineRule="exact"/>
        <w:ind w:firstLine="600" w:firstLineChars="200"/>
        <w:contextualSpacing/>
        <w:jc w:val="left"/>
        <w:rPr>
          <w:rFonts w:ascii="Times New Roman" w:hAnsi="Times New Roman" w:eastAsia="仿宋"/>
          <w:kern w:val="0"/>
          <w:sz w:val="30"/>
          <w:szCs w:val="30"/>
        </w:rPr>
      </w:pPr>
      <w:r>
        <w:rPr>
          <w:rFonts w:hint="eastAsia" w:ascii="仿宋" w:hAnsi="仿宋" w:eastAsia="仿宋"/>
          <w:kern w:val="0"/>
          <w:sz w:val="30"/>
          <w:szCs w:val="30"/>
        </w:rPr>
        <w:t>（</w:t>
      </w:r>
      <w:r>
        <w:rPr>
          <w:rFonts w:hint="eastAsia" w:ascii="Times New Roman" w:hAnsi="Times New Roman" w:eastAsia="仿宋"/>
          <w:kern w:val="0"/>
          <w:sz w:val="30"/>
          <w:szCs w:val="30"/>
        </w:rPr>
        <w:t>5</w:t>
      </w:r>
      <w:r>
        <w:rPr>
          <w:rFonts w:hint="eastAsia" w:ascii="仿宋" w:hAnsi="仿宋" w:eastAsia="仿宋"/>
          <w:kern w:val="0"/>
          <w:sz w:val="30"/>
          <w:szCs w:val="30"/>
        </w:rPr>
        <w:t>）《地表水环境质量标准</w:t>
      </w:r>
      <w:r>
        <w:rPr>
          <w:rFonts w:hint="eastAsia" w:ascii="Times New Roman" w:hAnsi="Times New Roman" w:eastAsia="仿宋"/>
          <w:kern w:val="0"/>
          <w:sz w:val="30"/>
          <w:szCs w:val="30"/>
        </w:rPr>
        <w:t>GB3838-2002</w:t>
      </w:r>
      <w:r>
        <w:rPr>
          <w:rFonts w:hint="eastAsia" w:ascii="仿宋" w:hAnsi="仿宋" w:eastAsia="仿宋"/>
          <w:kern w:val="0"/>
          <w:sz w:val="30"/>
          <w:szCs w:val="30"/>
        </w:rPr>
        <w:t>》；</w:t>
      </w:r>
    </w:p>
    <w:p>
      <w:pPr>
        <w:widowControl/>
        <w:shd w:val="clear" w:color="auto" w:fill="FFFFFF"/>
        <w:snapToGrid w:val="0"/>
        <w:spacing w:line="560" w:lineRule="exact"/>
        <w:ind w:firstLine="600" w:firstLineChars="200"/>
        <w:contextualSpacing/>
        <w:jc w:val="left"/>
        <w:rPr>
          <w:rFonts w:ascii="Times New Roman" w:hAnsi="Times New Roman" w:eastAsia="仿宋"/>
          <w:kern w:val="0"/>
          <w:sz w:val="30"/>
          <w:szCs w:val="30"/>
        </w:rPr>
      </w:pPr>
      <w:r>
        <w:rPr>
          <w:rFonts w:hint="eastAsia" w:ascii="仿宋" w:hAnsi="仿宋" w:eastAsia="仿宋"/>
          <w:kern w:val="0"/>
          <w:sz w:val="30"/>
          <w:szCs w:val="30"/>
        </w:rPr>
        <w:t>（</w:t>
      </w:r>
      <w:r>
        <w:rPr>
          <w:rFonts w:hint="eastAsia" w:ascii="Times New Roman" w:hAnsi="Times New Roman" w:eastAsia="仿宋"/>
          <w:kern w:val="0"/>
          <w:sz w:val="30"/>
          <w:szCs w:val="30"/>
        </w:rPr>
        <w:t>6</w:t>
      </w:r>
      <w:r>
        <w:rPr>
          <w:rFonts w:hint="eastAsia" w:ascii="仿宋" w:hAnsi="仿宋" w:eastAsia="仿宋"/>
          <w:kern w:val="0"/>
          <w:sz w:val="30"/>
          <w:szCs w:val="30"/>
        </w:rPr>
        <w:t>）《生活饮用水卫生标准</w:t>
      </w:r>
      <w:r>
        <w:rPr>
          <w:rFonts w:hint="eastAsia" w:ascii="Times New Roman" w:hAnsi="Times New Roman" w:eastAsia="仿宋"/>
          <w:kern w:val="0"/>
          <w:sz w:val="30"/>
          <w:szCs w:val="30"/>
        </w:rPr>
        <w:t>GB5749-2006</w:t>
      </w:r>
      <w:r>
        <w:rPr>
          <w:rFonts w:hint="eastAsia" w:ascii="仿宋" w:hAnsi="仿宋" w:eastAsia="仿宋"/>
          <w:kern w:val="0"/>
          <w:sz w:val="30"/>
          <w:szCs w:val="30"/>
        </w:rPr>
        <w:t>》；</w:t>
      </w:r>
    </w:p>
    <w:p>
      <w:pPr>
        <w:widowControl/>
        <w:shd w:val="clear" w:color="auto" w:fill="FFFFFF"/>
        <w:snapToGrid w:val="0"/>
        <w:spacing w:line="560" w:lineRule="exact"/>
        <w:ind w:firstLine="600" w:firstLineChars="200"/>
        <w:contextualSpacing/>
        <w:jc w:val="left"/>
        <w:rPr>
          <w:rFonts w:ascii="Times New Roman" w:hAnsi="Times New Roman" w:eastAsia="仿宋"/>
          <w:kern w:val="0"/>
          <w:sz w:val="30"/>
          <w:szCs w:val="30"/>
        </w:rPr>
      </w:pPr>
      <w:r>
        <w:rPr>
          <w:rFonts w:hint="eastAsia" w:ascii="仿宋" w:hAnsi="仿宋" w:eastAsia="仿宋"/>
          <w:kern w:val="0"/>
          <w:sz w:val="30"/>
          <w:szCs w:val="30"/>
        </w:rPr>
        <w:t>（</w:t>
      </w:r>
      <w:r>
        <w:rPr>
          <w:rFonts w:hint="eastAsia" w:ascii="Times New Roman" w:hAnsi="Times New Roman" w:eastAsia="仿宋"/>
          <w:kern w:val="0"/>
          <w:sz w:val="30"/>
          <w:szCs w:val="30"/>
        </w:rPr>
        <w:t>7</w:t>
      </w:r>
      <w:r>
        <w:rPr>
          <w:rFonts w:hint="eastAsia" w:ascii="仿宋" w:hAnsi="仿宋" w:eastAsia="仿宋"/>
          <w:kern w:val="0"/>
          <w:sz w:val="30"/>
          <w:szCs w:val="30"/>
        </w:rPr>
        <w:t>）《污水综合排放标准</w:t>
      </w:r>
      <w:r>
        <w:rPr>
          <w:rFonts w:hint="eastAsia" w:ascii="Times New Roman" w:hAnsi="Times New Roman" w:eastAsia="仿宋"/>
          <w:kern w:val="0"/>
          <w:sz w:val="30"/>
          <w:szCs w:val="30"/>
        </w:rPr>
        <w:t>CB8978-1996</w:t>
      </w:r>
      <w:r>
        <w:rPr>
          <w:rFonts w:hint="eastAsia" w:ascii="仿宋" w:hAnsi="仿宋" w:eastAsia="仿宋"/>
          <w:kern w:val="0"/>
          <w:sz w:val="30"/>
          <w:szCs w:val="30"/>
        </w:rPr>
        <w:t>》；</w:t>
      </w:r>
    </w:p>
    <w:p>
      <w:pPr>
        <w:widowControl/>
        <w:shd w:val="clear" w:color="auto" w:fill="FFFFFF"/>
        <w:snapToGrid w:val="0"/>
        <w:spacing w:line="560" w:lineRule="exact"/>
        <w:ind w:firstLine="600" w:firstLineChars="200"/>
        <w:contextualSpacing/>
        <w:jc w:val="left"/>
        <w:rPr>
          <w:rFonts w:ascii="Times New Roman" w:hAnsi="Times New Roman" w:eastAsia="仿宋"/>
          <w:kern w:val="0"/>
          <w:sz w:val="30"/>
          <w:szCs w:val="30"/>
        </w:rPr>
      </w:pPr>
      <w:r>
        <w:rPr>
          <w:rFonts w:hint="eastAsia" w:ascii="仿宋" w:hAnsi="仿宋" w:eastAsia="仿宋"/>
          <w:kern w:val="0"/>
          <w:sz w:val="30"/>
          <w:szCs w:val="30"/>
        </w:rPr>
        <w:t>（</w:t>
      </w:r>
      <w:r>
        <w:rPr>
          <w:rFonts w:hint="eastAsia" w:ascii="Times New Roman" w:hAnsi="Times New Roman" w:eastAsia="仿宋"/>
          <w:kern w:val="0"/>
          <w:sz w:val="30"/>
          <w:szCs w:val="30"/>
        </w:rPr>
        <w:t>8</w:t>
      </w:r>
      <w:r>
        <w:rPr>
          <w:rFonts w:hint="eastAsia" w:ascii="仿宋" w:hAnsi="仿宋" w:eastAsia="仿宋"/>
          <w:kern w:val="0"/>
          <w:sz w:val="30"/>
          <w:szCs w:val="30"/>
        </w:rPr>
        <w:t>）《景观娱乐用水水质标准</w:t>
      </w:r>
      <w:r>
        <w:rPr>
          <w:rFonts w:hint="eastAsia" w:ascii="Times New Roman" w:hAnsi="Times New Roman" w:eastAsia="仿宋"/>
          <w:kern w:val="0"/>
          <w:sz w:val="30"/>
          <w:szCs w:val="30"/>
        </w:rPr>
        <w:t>GB12941</w:t>
      </w:r>
      <w:r>
        <w:rPr>
          <w:rFonts w:hint="eastAsia" w:ascii="仿宋" w:hAnsi="仿宋" w:eastAsia="仿宋"/>
          <w:kern w:val="0"/>
          <w:sz w:val="30"/>
          <w:szCs w:val="30"/>
        </w:rPr>
        <w:t>》；</w:t>
      </w:r>
    </w:p>
    <w:p>
      <w:pPr>
        <w:widowControl/>
        <w:shd w:val="clear" w:color="auto" w:fill="FFFFFF"/>
        <w:snapToGrid w:val="0"/>
        <w:spacing w:line="560" w:lineRule="exact"/>
        <w:ind w:firstLine="600" w:firstLineChars="200"/>
        <w:contextualSpacing/>
        <w:jc w:val="left"/>
        <w:rPr>
          <w:rFonts w:ascii="Times New Roman" w:hAnsi="Times New Roman" w:eastAsia="仿宋"/>
          <w:kern w:val="0"/>
          <w:sz w:val="30"/>
          <w:szCs w:val="30"/>
        </w:rPr>
      </w:pPr>
      <w:r>
        <w:rPr>
          <w:rFonts w:hint="eastAsia" w:ascii="仿宋" w:hAnsi="仿宋" w:eastAsia="仿宋"/>
          <w:kern w:val="0"/>
          <w:sz w:val="30"/>
          <w:szCs w:val="30"/>
        </w:rPr>
        <w:t>（</w:t>
      </w:r>
      <w:r>
        <w:rPr>
          <w:rFonts w:hint="eastAsia" w:ascii="Times New Roman" w:hAnsi="Times New Roman" w:eastAsia="仿宋"/>
          <w:kern w:val="0"/>
          <w:sz w:val="30"/>
          <w:szCs w:val="30"/>
        </w:rPr>
        <w:t>9</w:t>
      </w:r>
      <w:r>
        <w:rPr>
          <w:rFonts w:hint="eastAsia" w:ascii="仿宋" w:hAnsi="仿宋" w:eastAsia="仿宋"/>
          <w:kern w:val="0"/>
          <w:sz w:val="30"/>
          <w:szCs w:val="30"/>
        </w:rPr>
        <w:t>）《农田灌溉水质标准</w:t>
      </w:r>
      <w:r>
        <w:rPr>
          <w:rFonts w:hint="eastAsia" w:ascii="Times New Roman" w:hAnsi="Times New Roman" w:eastAsia="仿宋"/>
          <w:kern w:val="0"/>
          <w:sz w:val="30"/>
          <w:szCs w:val="30"/>
        </w:rPr>
        <w:t>GB5084-20</w:t>
      </w:r>
      <w:r>
        <w:rPr>
          <w:rFonts w:hint="eastAsia" w:ascii="Times New Roman" w:hAnsi="Times New Roman" w:eastAsia="仿宋"/>
          <w:kern w:val="0"/>
          <w:sz w:val="30"/>
          <w:szCs w:val="30"/>
          <w:lang w:val="en-US" w:eastAsia="zh-CN"/>
        </w:rPr>
        <w:t>21</w:t>
      </w:r>
      <w:r>
        <w:rPr>
          <w:rFonts w:hint="eastAsia" w:ascii="仿宋" w:hAnsi="仿宋" w:eastAsia="仿宋"/>
          <w:kern w:val="0"/>
          <w:sz w:val="30"/>
          <w:szCs w:val="30"/>
        </w:rPr>
        <w:t>》；</w:t>
      </w:r>
    </w:p>
    <w:p>
      <w:pPr>
        <w:widowControl/>
        <w:shd w:val="clear" w:color="auto" w:fill="FFFFFF"/>
        <w:snapToGrid w:val="0"/>
        <w:spacing w:line="560" w:lineRule="exact"/>
        <w:ind w:firstLine="600" w:firstLineChars="200"/>
        <w:contextualSpacing/>
        <w:jc w:val="left"/>
        <w:rPr>
          <w:rFonts w:ascii="Times New Roman" w:hAnsi="Times New Roman" w:eastAsia="仿宋"/>
          <w:kern w:val="0"/>
          <w:sz w:val="30"/>
          <w:szCs w:val="30"/>
        </w:rPr>
      </w:pPr>
      <w:r>
        <w:rPr>
          <w:rFonts w:hint="eastAsia" w:ascii="仿宋" w:hAnsi="仿宋" w:eastAsia="仿宋"/>
          <w:kern w:val="0"/>
          <w:sz w:val="30"/>
          <w:szCs w:val="30"/>
        </w:rPr>
        <w:t>（</w:t>
      </w:r>
      <w:r>
        <w:rPr>
          <w:rFonts w:hint="eastAsia" w:ascii="Times New Roman" w:hAnsi="Times New Roman" w:eastAsia="仿宋"/>
          <w:kern w:val="0"/>
          <w:sz w:val="30"/>
          <w:szCs w:val="30"/>
        </w:rPr>
        <w:t>10</w:t>
      </w:r>
      <w:r>
        <w:rPr>
          <w:rFonts w:hint="eastAsia" w:ascii="仿宋" w:hAnsi="仿宋" w:eastAsia="仿宋"/>
          <w:kern w:val="0"/>
          <w:sz w:val="30"/>
          <w:szCs w:val="30"/>
        </w:rPr>
        <w:t>）《生活饮用水水源水质标准</w:t>
      </w:r>
      <w:r>
        <w:rPr>
          <w:rFonts w:hint="eastAsia" w:ascii="Times New Roman" w:hAnsi="Times New Roman" w:eastAsia="仿宋"/>
          <w:kern w:val="0"/>
          <w:sz w:val="30"/>
          <w:szCs w:val="30"/>
        </w:rPr>
        <w:t>CJ3020-93</w:t>
      </w:r>
      <w:r>
        <w:rPr>
          <w:rFonts w:hint="eastAsia" w:ascii="仿宋" w:hAnsi="仿宋" w:eastAsia="仿宋"/>
          <w:kern w:val="0"/>
          <w:sz w:val="30"/>
          <w:szCs w:val="30"/>
        </w:rPr>
        <w:t>》；</w:t>
      </w:r>
    </w:p>
    <w:p>
      <w:pPr>
        <w:widowControl/>
        <w:shd w:val="clear" w:color="auto" w:fill="FFFFFF"/>
        <w:snapToGrid w:val="0"/>
        <w:spacing w:line="560" w:lineRule="exact"/>
        <w:ind w:firstLine="600" w:firstLineChars="200"/>
        <w:contextualSpacing/>
        <w:jc w:val="left"/>
        <w:rPr>
          <w:rFonts w:ascii="仿宋" w:hAnsi="仿宋" w:eastAsia="仿宋"/>
          <w:kern w:val="0"/>
          <w:sz w:val="30"/>
          <w:szCs w:val="30"/>
        </w:rPr>
      </w:pPr>
      <w:r>
        <w:rPr>
          <w:rFonts w:hint="eastAsia" w:ascii="仿宋" w:hAnsi="仿宋" w:eastAsia="仿宋"/>
          <w:kern w:val="0"/>
          <w:sz w:val="30"/>
          <w:szCs w:val="30"/>
        </w:rPr>
        <w:t>（</w:t>
      </w:r>
      <w:r>
        <w:rPr>
          <w:rFonts w:hint="eastAsia" w:ascii="Times New Roman" w:hAnsi="Times New Roman" w:eastAsia="仿宋"/>
          <w:kern w:val="0"/>
          <w:sz w:val="30"/>
          <w:szCs w:val="30"/>
        </w:rPr>
        <w:t>11</w:t>
      </w:r>
      <w:r>
        <w:rPr>
          <w:rFonts w:hint="eastAsia" w:ascii="仿宋" w:hAnsi="仿宋" w:eastAsia="仿宋"/>
          <w:kern w:val="0"/>
          <w:sz w:val="30"/>
          <w:szCs w:val="30"/>
        </w:rPr>
        <w:t>）《渔业水质标准</w:t>
      </w:r>
      <w:r>
        <w:rPr>
          <w:rFonts w:hint="eastAsia" w:ascii="Times New Roman" w:hAnsi="Times New Roman" w:eastAsia="仿宋"/>
          <w:kern w:val="0"/>
          <w:sz w:val="30"/>
          <w:szCs w:val="30"/>
        </w:rPr>
        <w:t>GB 11607-89</w:t>
      </w:r>
      <w:r>
        <w:rPr>
          <w:rFonts w:hint="eastAsia" w:ascii="仿宋" w:hAnsi="仿宋" w:eastAsia="仿宋"/>
          <w:kern w:val="0"/>
          <w:sz w:val="30"/>
          <w:szCs w:val="30"/>
        </w:rPr>
        <w:t>》；</w:t>
      </w:r>
    </w:p>
    <w:p>
      <w:pPr>
        <w:widowControl/>
        <w:shd w:val="clear" w:color="auto" w:fill="FFFFFF"/>
        <w:snapToGrid w:val="0"/>
        <w:spacing w:line="560" w:lineRule="exact"/>
        <w:ind w:firstLine="600" w:firstLineChars="200"/>
        <w:contextualSpacing/>
        <w:jc w:val="left"/>
        <w:rPr>
          <w:rFonts w:hint="eastAsia" w:ascii="仿宋" w:hAnsi="仿宋" w:eastAsia="仿宋"/>
          <w:kern w:val="0"/>
          <w:sz w:val="30"/>
          <w:szCs w:val="30"/>
        </w:rPr>
      </w:pPr>
      <w:r>
        <w:rPr>
          <w:rFonts w:hint="eastAsia" w:ascii="仿宋" w:hAnsi="仿宋" w:eastAsia="仿宋"/>
          <w:kern w:val="0"/>
          <w:sz w:val="30"/>
          <w:szCs w:val="30"/>
        </w:rPr>
        <w:t>（12）水功能区划分标准（</w:t>
      </w:r>
      <w:r>
        <w:rPr>
          <w:rFonts w:hint="default" w:ascii="Times New Roman" w:hAnsi="Times New Roman" w:eastAsia="仿宋_GB2312" w:cs="Times New Roman"/>
          <w:kern w:val="0"/>
          <w:sz w:val="30"/>
          <w:szCs w:val="30"/>
        </w:rPr>
        <w:t>GB50594-2010</w:t>
      </w:r>
      <w:r>
        <w:rPr>
          <w:rFonts w:hint="eastAsia" w:ascii="仿宋" w:hAnsi="仿宋" w:eastAsia="仿宋"/>
          <w:kern w:val="0"/>
          <w:sz w:val="30"/>
          <w:szCs w:val="30"/>
        </w:rPr>
        <w:t>）。</w:t>
      </w:r>
    </w:p>
    <w:p>
      <w:pPr>
        <w:spacing w:line="560" w:lineRule="exact"/>
        <w:ind w:firstLine="602" w:firstLineChars="200"/>
        <w:rPr>
          <w:rFonts w:ascii="Times New Roman" w:hAnsi="Times New Roman" w:eastAsia="仿宋"/>
          <w:b/>
          <w:bCs/>
          <w:sz w:val="30"/>
          <w:szCs w:val="30"/>
        </w:rPr>
      </w:pPr>
      <w:r>
        <w:rPr>
          <w:rFonts w:hint="eastAsia" w:ascii="Times New Roman" w:hAnsi="Times New Roman" w:eastAsia="仿宋"/>
          <w:b/>
          <w:bCs/>
          <w:sz w:val="30"/>
          <w:szCs w:val="30"/>
        </w:rPr>
        <w:t>3</w:t>
      </w:r>
      <w:r>
        <w:rPr>
          <w:rFonts w:hint="eastAsia" w:ascii="仿宋" w:hAnsi="仿宋" w:eastAsia="仿宋"/>
          <w:b/>
          <w:bCs/>
          <w:sz w:val="30"/>
          <w:szCs w:val="30"/>
        </w:rPr>
        <w:t>、其他</w:t>
      </w:r>
    </w:p>
    <w:p>
      <w:pPr>
        <w:widowControl/>
        <w:shd w:val="clear" w:color="auto" w:fill="FFFFFF"/>
        <w:snapToGrid w:val="0"/>
        <w:spacing w:line="560" w:lineRule="exact"/>
        <w:ind w:firstLine="600" w:firstLineChars="200"/>
        <w:contextualSpacing/>
        <w:jc w:val="left"/>
        <w:rPr>
          <w:rFonts w:ascii="Times New Roman" w:hAnsi="Times New Roman" w:eastAsia="仿宋"/>
          <w:kern w:val="0"/>
          <w:sz w:val="30"/>
          <w:szCs w:val="30"/>
        </w:rPr>
      </w:pPr>
      <w:r>
        <w:rPr>
          <w:rFonts w:hint="eastAsia" w:ascii="仿宋" w:hAnsi="仿宋" w:eastAsia="仿宋"/>
          <w:kern w:val="0"/>
          <w:sz w:val="30"/>
          <w:szCs w:val="30"/>
        </w:rPr>
        <w:t>（</w:t>
      </w:r>
      <w:r>
        <w:rPr>
          <w:rFonts w:hint="eastAsia" w:ascii="Times New Roman" w:hAnsi="Times New Roman" w:eastAsia="仿宋"/>
          <w:kern w:val="0"/>
          <w:sz w:val="30"/>
          <w:szCs w:val="30"/>
        </w:rPr>
        <w:t>1</w:t>
      </w:r>
      <w:r>
        <w:rPr>
          <w:rFonts w:hint="eastAsia" w:ascii="仿宋" w:hAnsi="仿宋" w:eastAsia="仿宋"/>
          <w:kern w:val="0"/>
          <w:sz w:val="30"/>
          <w:szCs w:val="30"/>
        </w:rPr>
        <w:t>）《全国生态环境保护纲要》，</w:t>
      </w:r>
      <w:r>
        <w:rPr>
          <w:rFonts w:hint="eastAsia" w:ascii="Times New Roman" w:hAnsi="Times New Roman" w:eastAsia="仿宋"/>
          <w:kern w:val="0"/>
          <w:sz w:val="30"/>
          <w:szCs w:val="30"/>
        </w:rPr>
        <w:t>2000</w:t>
      </w:r>
      <w:r>
        <w:rPr>
          <w:rFonts w:hint="eastAsia" w:ascii="仿宋" w:hAnsi="仿宋" w:eastAsia="仿宋"/>
          <w:kern w:val="0"/>
          <w:sz w:val="30"/>
          <w:szCs w:val="30"/>
        </w:rPr>
        <w:t>；</w:t>
      </w:r>
    </w:p>
    <w:p>
      <w:pPr>
        <w:widowControl/>
        <w:shd w:val="clear" w:color="auto" w:fill="FFFFFF"/>
        <w:snapToGrid w:val="0"/>
        <w:spacing w:line="560" w:lineRule="exact"/>
        <w:ind w:firstLine="600" w:firstLineChars="200"/>
        <w:contextualSpacing/>
        <w:jc w:val="left"/>
        <w:rPr>
          <w:rFonts w:ascii="Times New Roman" w:hAnsi="Times New Roman" w:eastAsia="仿宋"/>
          <w:kern w:val="0"/>
          <w:sz w:val="30"/>
          <w:szCs w:val="30"/>
        </w:rPr>
      </w:pPr>
      <w:r>
        <w:rPr>
          <w:rFonts w:hint="eastAsia" w:ascii="仿宋" w:hAnsi="仿宋" w:eastAsia="仿宋"/>
          <w:kern w:val="0"/>
          <w:sz w:val="30"/>
          <w:szCs w:val="30"/>
        </w:rPr>
        <w:t>（</w:t>
      </w:r>
      <w:r>
        <w:rPr>
          <w:rFonts w:hint="eastAsia" w:ascii="Times New Roman" w:hAnsi="Times New Roman" w:eastAsia="仿宋"/>
          <w:kern w:val="0"/>
          <w:sz w:val="30"/>
          <w:szCs w:val="30"/>
        </w:rPr>
        <w:t>2</w:t>
      </w:r>
      <w:r>
        <w:rPr>
          <w:rFonts w:hint="eastAsia" w:ascii="仿宋" w:hAnsi="仿宋" w:eastAsia="仿宋"/>
          <w:kern w:val="0"/>
          <w:sz w:val="30"/>
          <w:szCs w:val="30"/>
        </w:rPr>
        <w:t>）《取水许可和水资源费征收管理条例》，</w:t>
      </w:r>
      <w:r>
        <w:rPr>
          <w:rFonts w:hint="eastAsia" w:ascii="Times New Roman" w:hAnsi="Times New Roman" w:eastAsia="仿宋"/>
          <w:kern w:val="0"/>
          <w:sz w:val="30"/>
          <w:szCs w:val="30"/>
        </w:rPr>
        <w:t>2017</w:t>
      </w:r>
      <w:r>
        <w:rPr>
          <w:rFonts w:hint="eastAsia" w:ascii="仿宋" w:hAnsi="仿宋" w:eastAsia="仿宋"/>
          <w:kern w:val="0"/>
          <w:sz w:val="30"/>
          <w:szCs w:val="30"/>
        </w:rPr>
        <w:t>；</w:t>
      </w:r>
    </w:p>
    <w:p>
      <w:pPr>
        <w:widowControl/>
        <w:shd w:val="clear" w:color="auto" w:fill="FFFFFF"/>
        <w:snapToGrid w:val="0"/>
        <w:spacing w:line="560" w:lineRule="exact"/>
        <w:ind w:firstLine="600" w:firstLineChars="200"/>
        <w:contextualSpacing/>
        <w:jc w:val="left"/>
        <w:rPr>
          <w:rFonts w:ascii="Times New Roman" w:hAnsi="Times New Roman" w:eastAsia="仿宋"/>
          <w:kern w:val="0"/>
          <w:sz w:val="30"/>
          <w:szCs w:val="30"/>
        </w:rPr>
      </w:pPr>
      <w:r>
        <w:rPr>
          <w:rFonts w:hint="eastAsia" w:ascii="仿宋" w:hAnsi="仿宋" w:eastAsia="仿宋"/>
          <w:kern w:val="0"/>
          <w:sz w:val="30"/>
          <w:szCs w:val="30"/>
        </w:rPr>
        <w:t>（</w:t>
      </w:r>
      <w:r>
        <w:rPr>
          <w:rFonts w:hint="eastAsia" w:ascii="Times New Roman" w:hAnsi="Times New Roman" w:eastAsia="仿宋"/>
          <w:kern w:val="0"/>
          <w:sz w:val="30"/>
          <w:szCs w:val="30"/>
        </w:rPr>
        <w:t>3</w:t>
      </w:r>
      <w:r>
        <w:rPr>
          <w:rFonts w:hint="eastAsia" w:ascii="仿宋" w:hAnsi="仿宋" w:eastAsia="仿宋"/>
          <w:kern w:val="0"/>
          <w:sz w:val="30"/>
          <w:szCs w:val="30"/>
        </w:rPr>
        <w:t>）《入河排污口监督管理办法》，</w:t>
      </w:r>
      <w:r>
        <w:rPr>
          <w:rFonts w:hint="eastAsia" w:ascii="Times New Roman" w:hAnsi="Times New Roman" w:eastAsia="仿宋"/>
          <w:kern w:val="0"/>
          <w:sz w:val="30"/>
          <w:szCs w:val="30"/>
        </w:rPr>
        <w:t>2015</w:t>
      </w:r>
      <w:r>
        <w:rPr>
          <w:rFonts w:hint="eastAsia" w:ascii="仿宋" w:hAnsi="仿宋" w:eastAsia="仿宋"/>
          <w:kern w:val="0"/>
          <w:sz w:val="30"/>
          <w:szCs w:val="30"/>
        </w:rPr>
        <w:t>；</w:t>
      </w:r>
    </w:p>
    <w:p>
      <w:pPr>
        <w:widowControl/>
        <w:shd w:val="clear" w:color="auto" w:fill="FFFFFF"/>
        <w:snapToGrid w:val="0"/>
        <w:spacing w:line="560" w:lineRule="exact"/>
        <w:ind w:firstLine="600" w:firstLineChars="200"/>
        <w:contextualSpacing/>
        <w:jc w:val="left"/>
        <w:rPr>
          <w:rFonts w:ascii="Times New Roman" w:hAnsi="Times New Roman" w:eastAsia="仿宋"/>
          <w:kern w:val="0"/>
          <w:sz w:val="30"/>
          <w:szCs w:val="30"/>
        </w:rPr>
      </w:pPr>
      <w:r>
        <w:rPr>
          <w:rFonts w:hint="eastAsia" w:ascii="仿宋" w:hAnsi="仿宋" w:eastAsia="仿宋"/>
          <w:kern w:val="0"/>
          <w:sz w:val="30"/>
          <w:szCs w:val="30"/>
        </w:rPr>
        <w:t>（</w:t>
      </w:r>
      <w:r>
        <w:rPr>
          <w:rFonts w:ascii="Times New Roman" w:hAnsi="Times New Roman" w:eastAsia="仿宋"/>
          <w:kern w:val="0"/>
          <w:sz w:val="30"/>
          <w:szCs w:val="30"/>
        </w:rPr>
        <w:t>4</w:t>
      </w:r>
      <w:r>
        <w:rPr>
          <w:rFonts w:hint="eastAsia" w:ascii="仿宋" w:hAnsi="仿宋" w:eastAsia="仿宋"/>
          <w:kern w:val="0"/>
          <w:sz w:val="30"/>
          <w:szCs w:val="30"/>
        </w:rPr>
        <w:t>）《建设项目环境</w:t>
      </w:r>
      <w:r>
        <w:rPr>
          <w:rFonts w:hint="eastAsia" w:ascii="仿宋" w:hAnsi="仿宋" w:eastAsia="仿宋"/>
          <w:kern w:val="0"/>
          <w:sz w:val="30"/>
          <w:szCs w:val="30"/>
          <w:lang w:val="en-US" w:eastAsia="zh-CN"/>
        </w:rPr>
        <w:t>保护</w:t>
      </w:r>
      <w:bookmarkStart w:id="67" w:name="_GoBack"/>
      <w:bookmarkEnd w:id="67"/>
      <w:r>
        <w:rPr>
          <w:rFonts w:hint="eastAsia" w:ascii="仿宋" w:hAnsi="仿宋" w:eastAsia="仿宋"/>
          <w:kern w:val="0"/>
          <w:sz w:val="30"/>
          <w:szCs w:val="30"/>
        </w:rPr>
        <w:t>管理条例》，</w:t>
      </w:r>
      <w:r>
        <w:rPr>
          <w:rFonts w:hint="eastAsia" w:ascii="Times New Roman" w:hAnsi="Times New Roman" w:eastAsia="仿宋"/>
          <w:kern w:val="0"/>
          <w:sz w:val="30"/>
          <w:szCs w:val="30"/>
        </w:rPr>
        <w:t>2017</w:t>
      </w:r>
      <w:r>
        <w:rPr>
          <w:rFonts w:hint="eastAsia" w:ascii="仿宋" w:hAnsi="仿宋" w:eastAsia="仿宋"/>
          <w:kern w:val="0"/>
          <w:sz w:val="30"/>
          <w:szCs w:val="30"/>
        </w:rPr>
        <w:t>；</w:t>
      </w:r>
    </w:p>
    <w:p>
      <w:pPr>
        <w:widowControl/>
        <w:shd w:val="clear" w:color="auto" w:fill="FFFFFF"/>
        <w:snapToGrid w:val="0"/>
        <w:spacing w:line="560" w:lineRule="exact"/>
        <w:ind w:firstLine="600" w:firstLineChars="200"/>
        <w:contextualSpacing/>
        <w:jc w:val="left"/>
        <w:rPr>
          <w:rFonts w:ascii="仿宋" w:hAnsi="仿宋" w:eastAsia="仿宋"/>
          <w:kern w:val="0"/>
          <w:sz w:val="30"/>
          <w:szCs w:val="30"/>
        </w:rPr>
      </w:pPr>
      <w:r>
        <w:rPr>
          <w:rFonts w:hint="eastAsia" w:ascii="Times New Roman" w:hAnsi="Times New Roman" w:eastAsia="仿宋_GB2312" w:cs="Times New Roman"/>
          <w:kern w:val="0"/>
          <w:sz w:val="30"/>
          <w:szCs w:val="30"/>
        </w:rPr>
        <w:t>（</w:t>
      </w:r>
      <w:r>
        <w:rPr>
          <w:rFonts w:hint="eastAsia" w:ascii="仿宋" w:hAnsi="仿宋" w:eastAsia="仿宋"/>
          <w:kern w:val="0"/>
          <w:sz w:val="30"/>
          <w:szCs w:val="30"/>
        </w:rPr>
        <w:t>5）《新疆维吾尔自治区水功能区划》；</w:t>
      </w:r>
    </w:p>
    <w:p>
      <w:pPr>
        <w:widowControl/>
        <w:shd w:val="clear" w:color="auto" w:fill="FFFFFF"/>
        <w:snapToGrid w:val="0"/>
        <w:spacing w:line="560" w:lineRule="exact"/>
        <w:ind w:firstLine="600" w:firstLineChars="200"/>
        <w:contextualSpacing/>
        <w:jc w:val="left"/>
        <w:rPr>
          <w:rFonts w:ascii="Times New Roman" w:hAnsi="Times New Roman" w:eastAsia="仿宋"/>
          <w:kern w:val="0"/>
          <w:sz w:val="30"/>
          <w:szCs w:val="30"/>
        </w:rPr>
      </w:pPr>
      <w:r>
        <w:rPr>
          <w:rFonts w:hint="eastAsia" w:ascii="仿宋" w:hAnsi="仿宋" w:eastAsia="仿宋"/>
          <w:kern w:val="0"/>
          <w:sz w:val="30"/>
          <w:szCs w:val="30"/>
        </w:rPr>
        <w:t>（</w:t>
      </w:r>
      <w:r>
        <w:rPr>
          <w:rFonts w:ascii="仿宋" w:hAnsi="仿宋" w:eastAsia="仿宋"/>
          <w:kern w:val="0"/>
          <w:sz w:val="30"/>
          <w:szCs w:val="30"/>
        </w:rPr>
        <w:t>6</w:t>
      </w:r>
      <w:r>
        <w:rPr>
          <w:rFonts w:hint="eastAsia" w:ascii="仿宋" w:hAnsi="仿宋" w:eastAsia="仿宋"/>
          <w:kern w:val="0"/>
          <w:sz w:val="30"/>
          <w:szCs w:val="30"/>
        </w:rPr>
        <w:t>）《中国新疆水环境功能区划》，</w:t>
      </w:r>
      <w:r>
        <w:rPr>
          <w:rFonts w:hint="eastAsia" w:ascii="Times New Roman" w:hAnsi="Times New Roman" w:eastAsia="仿宋"/>
          <w:kern w:val="0"/>
          <w:sz w:val="30"/>
          <w:szCs w:val="30"/>
        </w:rPr>
        <w:t>2002</w:t>
      </w:r>
      <w:r>
        <w:rPr>
          <w:rFonts w:hint="eastAsia" w:ascii="仿宋" w:hAnsi="仿宋" w:eastAsia="仿宋"/>
          <w:kern w:val="0"/>
          <w:sz w:val="30"/>
          <w:szCs w:val="30"/>
        </w:rPr>
        <w:t>；</w:t>
      </w:r>
    </w:p>
    <w:p>
      <w:pPr>
        <w:widowControl/>
        <w:shd w:val="clear" w:color="auto" w:fill="FFFFFF"/>
        <w:snapToGrid w:val="0"/>
        <w:spacing w:line="560" w:lineRule="exact"/>
        <w:ind w:firstLine="600" w:firstLineChars="200"/>
        <w:contextualSpacing/>
        <w:jc w:val="left"/>
        <w:rPr>
          <w:rFonts w:ascii="Times New Roman" w:hAnsi="Times New Roman" w:eastAsia="仿宋"/>
          <w:kern w:val="0"/>
          <w:sz w:val="30"/>
          <w:szCs w:val="30"/>
        </w:rPr>
      </w:pPr>
      <w:r>
        <w:rPr>
          <w:rFonts w:hint="eastAsia" w:ascii="仿宋" w:hAnsi="仿宋" w:eastAsia="仿宋"/>
          <w:kern w:val="0"/>
          <w:sz w:val="30"/>
          <w:szCs w:val="30"/>
        </w:rPr>
        <w:t>（</w:t>
      </w:r>
      <w:r>
        <w:rPr>
          <w:rFonts w:ascii="Times New Roman" w:hAnsi="Times New Roman" w:eastAsia="仿宋"/>
          <w:kern w:val="0"/>
          <w:sz w:val="30"/>
          <w:szCs w:val="30"/>
        </w:rPr>
        <w:t>7</w:t>
      </w:r>
      <w:r>
        <w:rPr>
          <w:rFonts w:hint="eastAsia" w:ascii="仿宋" w:hAnsi="仿宋" w:eastAsia="仿宋"/>
          <w:kern w:val="0"/>
          <w:sz w:val="30"/>
          <w:szCs w:val="30"/>
        </w:rPr>
        <w:t>）《新疆维吾尔自治区主体功能区规划》，</w:t>
      </w:r>
      <w:r>
        <w:rPr>
          <w:rFonts w:hint="eastAsia" w:ascii="Times New Roman" w:hAnsi="Times New Roman" w:eastAsia="仿宋"/>
          <w:kern w:val="0"/>
          <w:sz w:val="30"/>
          <w:szCs w:val="30"/>
        </w:rPr>
        <w:t>2012</w:t>
      </w:r>
      <w:r>
        <w:rPr>
          <w:rFonts w:hint="eastAsia" w:ascii="仿宋" w:hAnsi="仿宋" w:eastAsia="仿宋"/>
          <w:kern w:val="0"/>
          <w:sz w:val="30"/>
          <w:szCs w:val="30"/>
        </w:rPr>
        <w:t>；</w:t>
      </w:r>
    </w:p>
    <w:p>
      <w:pPr>
        <w:widowControl/>
        <w:shd w:val="clear" w:color="auto" w:fill="FFFFFF"/>
        <w:snapToGrid w:val="0"/>
        <w:spacing w:line="560" w:lineRule="exact"/>
        <w:ind w:firstLine="600" w:firstLineChars="200"/>
        <w:contextualSpacing/>
        <w:jc w:val="left"/>
        <w:rPr>
          <w:rFonts w:ascii="仿宋" w:hAnsi="仿宋" w:eastAsia="仿宋"/>
          <w:kern w:val="0"/>
          <w:sz w:val="30"/>
          <w:szCs w:val="30"/>
        </w:rPr>
      </w:pPr>
      <w:r>
        <w:rPr>
          <w:rFonts w:hint="eastAsia" w:ascii="仿宋" w:hAnsi="仿宋" w:eastAsia="仿宋"/>
          <w:kern w:val="0"/>
          <w:sz w:val="30"/>
          <w:szCs w:val="30"/>
        </w:rPr>
        <w:t>（</w:t>
      </w:r>
      <w:r>
        <w:rPr>
          <w:rFonts w:hint="eastAsia" w:ascii="Times New Roman" w:hAnsi="Times New Roman" w:eastAsia="仿宋"/>
          <w:kern w:val="0"/>
          <w:sz w:val="30"/>
          <w:szCs w:val="30"/>
        </w:rPr>
        <w:t>8</w:t>
      </w:r>
      <w:r>
        <w:rPr>
          <w:rFonts w:hint="eastAsia" w:ascii="仿宋" w:hAnsi="仿宋" w:eastAsia="仿宋"/>
          <w:kern w:val="0"/>
          <w:sz w:val="30"/>
          <w:szCs w:val="30"/>
        </w:rPr>
        <w:t>）《新疆生态环境功能区划》，</w:t>
      </w:r>
      <w:r>
        <w:rPr>
          <w:rFonts w:hint="eastAsia" w:ascii="Times New Roman" w:hAnsi="Times New Roman" w:eastAsia="仿宋"/>
          <w:kern w:val="0"/>
          <w:sz w:val="30"/>
          <w:szCs w:val="30"/>
        </w:rPr>
        <w:t>2012</w:t>
      </w:r>
      <w:r>
        <w:rPr>
          <w:rFonts w:hint="eastAsia" w:ascii="仿宋" w:hAnsi="仿宋" w:eastAsia="仿宋"/>
          <w:kern w:val="0"/>
          <w:sz w:val="30"/>
          <w:szCs w:val="30"/>
        </w:rPr>
        <w:t>；</w:t>
      </w:r>
    </w:p>
    <w:p>
      <w:pPr>
        <w:widowControl/>
        <w:shd w:val="clear" w:color="auto" w:fill="FFFFFF"/>
        <w:snapToGrid w:val="0"/>
        <w:spacing w:line="560" w:lineRule="exact"/>
        <w:ind w:firstLine="600" w:firstLineChars="200"/>
        <w:contextualSpacing/>
        <w:jc w:val="left"/>
        <w:rPr>
          <w:rFonts w:hint="eastAsia" w:ascii="仿宋" w:hAnsi="仿宋" w:eastAsia="仿宋"/>
          <w:kern w:val="0"/>
          <w:sz w:val="30"/>
          <w:szCs w:val="30"/>
        </w:rPr>
      </w:pPr>
      <w:r>
        <w:rPr>
          <w:rFonts w:hint="eastAsia" w:ascii="仿宋" w:hAnsi="仿宋" w:eastAsia="仿宋"/>
          <w:kern w:val="0"/>
          <w:sz w:val="30"/>
          <w:szCs w:val="30"/>
        </w:rPr>
        <w:t>（9）和田地区“三线一单”生态环境分区管控方案，</w:t>
      </w:r>
      <w:r>
        <w:rPr>
          <w:rFonts w:hint="default" w:ascii="Times New Roman" w:hAnsi="Times New Roman" w:eastAsia="仿宋" w:cs="Times New Roman"/>
          <w:kern w:val="0"/>
          <w:sz w:val="30"/>
          <w:szCs w:val="30"/>
        </w:rPr>
        <w:t>2021</w:t>
      </w:r>
      <w:r>
        <w:rPr>
          <w:rFonts w:hint="eastAsia" w:ascii="仿宋" w:hAnsi="仿宋" w:eastAsia="仿宋"/>
          <w:kern w:val="0"/>
          <w:sz w:val="30"/>
          <w:szCs w:val="30"/>
        </w:rPr>
        <w:t>；</w:t>
      </w:r>
    </w:p>
    <w:p>
      <w:pPr>
        <w:widowControl/>
        <w:shd w:val="clear" w:color="auto" w:fill="FFFFFF"/>
        <w:snapToGrid w:val="0"/>
        <w:spacing w:line="560" w:lineRule="exact"/>
        <w:ind w:firstLine="600" w:firstLineChars="200"/>
        <w:contextualSpacing/>
        <w:jc w:val="left"/>
        <w:rPr>
          <w:rFonts w:hint="eastAsia" w:ascii="仿宋" w:hAnsi="仿宋" w:eastAsia="仿宋"/>
          <w:kern w:val="0"/>
          <w:sz w:val="30"/>
          <w:szCs w:val="30"/>
        </w:rPr>
      </w:pPr>
      <w:r>
        <w:rPr>
          <w:rFonts w:hint="eastAsia" w:ascii="仿宋" w:hAnsi="仿宋" w:eastAsia="仿宋"/>
          <w:kern w:val="0"/>
          <w:sz w:val="30"/>
          <w:szCs w:val="30"/>
        </w:rPr>
        <w:t>（10）策勒县河道岸线保护与利用规划，</w:t>
      </w:r>
      <w:r>
        <w:rPr>
          <w:rFonts w:hint="default" w:ascii="Times New Roman" w:hAnsi="Times New Roman" w:eastAsia="仿宋" w:cs="Times New Roman"/>
          <w:kern w:val="0"/>
          <w:sz w:val="30"/>
          <w:szCs w:val="30"/>
        </w:rPr>
        <w:t>2020</w:t>
      </w:r>
      <w:r>
        <w:rPr>
          <w:rFonts w:hint="eastAsia" w:ascii="仿宋" w:hAnsi="仿宋" w:eastAsia="仿宋"/>
          <w:kern w:val="0"/>
          <w:sz w:val="30"/>
          <w:szCs w:val="30"/>
        </w:rPr>
        <w:t>；</w:t>
      </w:r>
    </w:p>
    <w:p>
      <w:pPr>
        <w:widowControl/>
        <w:shd w:val="clear" w:color="auto" w:fill="FFFFFF"/>
        <w:snapToGrid w:val="0"/>
        <w:spacing w:line="560" w:lineRule="exact"/>
        <w:ind w:firstLine="600" w:firstLineChars="200"/>
        <w:contextualSpacing/>
        <w:jc w:val="left"/>
        <w:rPr>
          <w:rFonts w:ascii="Times New Roman" w:hAnsi="Times New Roman" w:eastAsia="仿宋"/>
          <w:b/>
          <w:bCs/>
          <w:sz w:val="30"/>
          <w:szCs w:val="30"/>
        </w:rPr>
      </w:pPr>
      <w:r>
        <w:rPr>
          <w:rFonts w:hint="eastAsia" w:ascii="仿宋" w:hAnsi="仿宋" w:eastAsia="仿宋"/>
          <w:sz w:val="30"/>
          <w:szCs w:val="30"/>
        </w:rPr>
        <w:t>（1</w:t>
      </w:r>
      <w:r>
        <w:rPr>
          <w:rFonts w:ascii="仿宋" w:hAnsi="仿宋" w:eastAsia="仿宋"/>
          <w:sz w:val="30"/>
          <w:szCs w:val="30"/>
        </w:rPr>
        <w:t>1</w:t>
      </w:r>
      <w:r>
        <w:rPr>
          <w:rFonts w:hint="eastAsia" w:ascii="仿宋" w:hAnsi="仿宋" w:eastAsia="仿宋"/>
          <w:sz w:val="30"/>
          <w:szCs w:val="30"/>
        </w:rPr>
        <w:t>）生态环境部《关于做好入河排污口和水功能区划相关工作的通知》（环办水体〔2019〕36号）。</w:t>
      </w:r>
    </w:p>
    <w:p>
      <w:pPr>
        <w:adjustRightInd w:val="0"/>
        <w:snapToGrid w:val="0"/>
        <w:spacing w:line="560" w:lineRule="exact"/>
        <w:outlineLvl w:val="0"/>
        <w:rPr>
          <w:rFonts w:ascii="Times New Roman" w:hAnsi="Times New Roman" w:eastAsia="仿宋" w:cs="Times New Roman"/>
          <w:b/>
          <w:sz w:val="32"/>
          <w:szCs w:val="32"/>
        </w:rPr>
      </w:pPr>
      <w:bookmarkStart w:id="8" w:name="_Toc153706318"/>
      <w:bookmarkStart w:id="9" w:name="_Toc68713475"/>
      <w:r>
        <w:rPr>
          <w:rFonts w:ascii="Times New Roman" w:hAnsi="Times New Roman" w:eastAsia="仿宋" w:cs="Times New Roman"/>
          <w:b/>
          <w:sz w:val="32"/>
          <w:szCs w:val="32"/>
        </w:rPr>
        <w:t>二、区域概况</w:t>
      </w:r>
      <w:bookmarkEnd w:id="8"/>
      <w:bookmarkEnd w:id="9"/>
    </w:p>
    <w:p>
      <w:pPr>
        <w:adjustRightInd w:val="0"/>
        <w:snapToGrid w:val="0"/>
        <w:spacing w:line="560" w:lineRule="exact"/>
        <w:ind w:firstLine="643" w:firstLineChars="200"/>
        <w:outlineLvl w:val="1"/>
        <w:rPr>
          <w:rFonts w:ascii="Times New Roman" w:hAnsi="Times New Roman" w:cs="Times New Roman"/>
          <w:b/>
          <w:bCs/>
          <w:sz w:val="28"/>
          <w:szCs w:val="28"/>
        </w:rPr>
      </w:pPr>
      <w:bookmarkStart w:id="10" w:name="_Toc68713476"/>
      <w:bookmarkStart w:id="11" w:name="_Toc153706319"/>
      <w:r>
        <w:rPr>
          <w:rFonts w:ascii="仿宋" w:hAnsi="仿宋" w:eastAsia="仿宋"/>
          <w:b/>
          <w:bCs/>
          <w:sz w:val="32"/>
          <w:szCs w:val="32"/>
        </w:rPr>
        <w:t>（一）自然环境</w:t>
      </w:r>
      <w:bookmarkEnd w:id="10"/>
      <w:bookmarkEnd w:id="11"/>
    </w:p>
    <w:p>
      <w:pPr>
        <w:spacing w:line="560" w:lineRule="exact"/>
        <w:ind w:firstLine="602" w:firstLineChars="200"/>
        <w:outlineLvl w:val="2"/>
        <w:rPr>
          <w:rFonts w:ascii="Times New Roman" w:hAnsi="Times New Roman" w:eastAsia="仿宋" w:cs="Times New Roman"/>
          <w:b/>
          <w:sz w:val="30"/>
          <w:szCs w:val="30"/>
        </w:rPr>
      </w:pPr>
      <w:r>
        <w:rPr>
          <w:rFonts w:hint="eastAsia" w:ascii="Times New Roman" w:hAnsi="Times New Roman" w:eastAsia="仿宋" w:cs="Times New Roman"/>
          <w:b/>
          <w:sz w:val="30"/>
          <w:szCs w:val="30"/>
        </w:rPr>
        <w:t>1、</w:t>
      </w:r>
      <w:r>
        <w:rPr>
          <w:rFonts w:ascii="Times New Roman" w:hAnsi="Times New Roman" w:eastAsia="仿宋" w:cs="Times New Roman"/>
          <w:b/>
          <w:sz w:val="30"/>
          <w:szCs w:val="30"/>
        </w:rPr>
        <w:t>地理位置</w:t>
      </w:r>
    </w:p>
    <w:p>
      <w:pPr>
        <w:spacing w:line="560" w:lineRule="exact"/>
        <w:ind w:firstLine="600" w:firstLineChars="200"/>
        <w:rPr>
          <w:rFonts w:ascii="仿宋" w:hAnsi="仿宋" w:eastAsia="仿宋"/>
          <w:sz w:val="30"/>
          <w:szCs w:val="30"/>
        </w:rPr>
      </w:pPr>
      <w:r>
        <w:rPr>
          <w:rFonts w:ascii="Times New Roman" w:hAnsi="Times New Roman" w:eastAsia="仿宋" w:cs="Times New Roman"/>
          <w:sz w:val="30"/>
          <w:szCs w:val="30"/>
        </w:rPr>
        <w:t>策勒县位于塔里木盆地边缘、昆仑山北麓，东邻民丰县，北接沙雅县，南抵昆仑山和西藏自治区接壤，策勒县南高北低，山区奴尔乡最高海</w:t>
      </w:r>
      <w:r>
        <w:rPr>
          <w:rFonts w:hint="eastAsia" w:ascii="Times New Roman" w:hAnsi="Times New Roman" w:eastAsia="仿宋" w:cs="Times New Roman"/>
          <w:sz w:val="30"/>
          <w:szCs w:val="30"/>
          <w:lang w:val="en-US" w:eastAsia="zh-CN"/>
        </w:rPr>
        <w:t>拔</w:t>
      </w:r>
      <w:r>
        <w:rPr>
          <w:rFonts w:ascii="Times New Roman" w:hAnsi="Times New Roman" w:eastAsia="仿宋" w:cs="Times New Roman"/>
          <w:sz w:val="30"/>
          <w:szCs w:val="30"/>
        </w:rPr>
        <w:t>6903米，最低海</w:t>
      </w:r>
      <w:r>
        <w:rPr>
          <w:rFonts w:hint="eastAsia" w:ascii="Times New Roman" w:hAnsi="Times New Roman" w:eastAsia="仿宋" w:cs="Times New Roman"/>
          <w:sz w:val="30"/>
          <w:szCs w:val="30"/>
          <w:lang w:val="en-US" w:eastAsia="zh-CN"/>
        </w:rPr>
        <w:t>拔</w:t>
      </w:r>
      <w:r>
        <w:rPr>
          <w:rFonts w:ascii="Times New Roman" w:hAnsi="Times New Roman" w:eastAsia="仿宋" w:cs="Times New Roman"/>
          <w:sz w:val="30"/>
          <w:szCs w:val="30"/>
        </w:rPr>
        <w:t>1055米，平均海</w:t>
      </w:r>
      <w:r>
        <w:rPr>
          <w:rFonts w:hint="eastAsia" w:ascii="Times New Roman" w:hAnsi="Times New Roman" w:eastAsia="仿宋" w:cs="Times New Roman"/>
          <w:sz w:val="30"/>
          <w:szCs w:val="30"/>
          <w:lang w:val="en-US" w:eastAsia="zh-CN"/>
        </w:rPr>
        <w:t>拔</w:t>
      </w:r>
      <w:r>
        <w:rPr>
          <w:rFonts w:ascii="Times New Roman" w:hAnsi="Times New Roman" w:eastAsia="仿宋" w:cs="Times New Roman"/>
          <w:sz w:val="30"/>
          <w:szCs w:val="30"/>
        </w:rPr>
        <w:t>3979米，县城附近平均海</w:t>
      </w:r>
      <w:r>
        <w:rPr>
          <w:rFonts w:hint="eastAsia" w:ascii="Times New Roman" w:hAnsi="Times New Roman" w:eastAsia="仿宋" w:cs="Times New Roman"/>
          <w:sz w:val="30"/>
          <w:szCs w:val="30"/>
          <w:lang w:val="en-US" w:eastAsia="zh-CN"/>
        </w:rPr>
        <w:t>拔</w:t>
      </w:r>
      <w:r>
        <w:rPr>
          <w:rFonts w:ascii="Times New Roman" w:hAnsi="Times New Roman" w:eastAsia="仿宋" w:cs="Times New Roman"/>
          <w:sz w:val="30"/>
          <w:szCs w:val="30"/>
        </w:rPr>
        <w:t>1365米。经纬度坐标：东经80º03´—82º10´，北纬35º10´—39º30´，南北长约468公里，东西宽约35-121公里，县境南越昆仑山与西藏交界；西南跨沙漠戈壁与和田县接壤；东与于田县毗邻；北部浩瀚沙漠与阿克苏地区沙雅县相连。距首府乌鲁木齐1415公里，距和田市100公里。315国道横贯县境。</w:t>
      </w:r>
    </w:p>
    <w:p>
      <w:pPr>
        <w:spacing w:line="560" w:lineRule="exact"/>
        <w:ind w:firstLine="602" w:firstLineChars="200"/>
        <w:outlineLvl w:val="2"/>
        <w:rPr>
          <w:rFonts w:ascii="Times New Roman" w:hAnsi="Times New Roman" w:eastAsia="仿宋" w:cs="Times New Roman"/>
          <w:b/>
          <w:sz w:val="30"/>
          <w:szCs w:val="30"/>
        </w:rPr>
      </w:pPr>
      <w:r>
        <w:rPr>
          <w:rFonts w:hint="eastAsia" w:ascii="Times New Roman" w:hAnsi="Times New Roman" w:eastAsia="仿宋" w:cs="Times New Roman"/>
          <w:b/>
          <w:sz w:val="30"/>
          <w:szCs w:val="30"/>
        </w:rPr>
        <w:t>2、</w:t>
      </w:r>
      <w:r>
        <w:rPr>
          <w:rFonts w:ascii="Times New Roman" w:hAnsi="Times New Roman" w:eastAsia="仿宋" w:cs="Times New Roman"/>
          <w:b/>
          <w:sz w:val="30"/>
          <w:szCs w:val="30"/>
        </w:rPr>
        <w:t>地形地貌</w:t>
      </w:r>
    </w:p>
    <w:p>
      <w:pPr>
        <w:spacing w:line="560" w:lineRule="exact"/>
        <w:ind w:firstLine="600" w:firstLineChars="200"/>
        <w:rPr>
          <w:rFonts w:ascii="仿宋" w:hAnsi="仿宋" w:eastAsia="仿宋"/>
          <w:sz w:val="30"/>
          <w:szCs w:val="30"/>
        </w:rPr>
      </w:pPr>
      <w:r>
        <w:rPr>
          <w:rFonts w:ascii="仿宋" w:hAnsi="仿宋" w:eastAsia="仿宋"/>
          <w:sz w:val="30"/>
          <w:szCs w:val="30"/>
        </w:rPr>
        <w:t>本区地形总态势是南高北低，西高东低，海拔高程1050-7282m。南部为昆仑山，主要山峰海拔高程均在4000m以上。帕米尔高原、喀喇昆仑山和昆仑山有许多海拔在6000m以上的高峰。盆地及平原区地势起伏平缓。塔里木盆地西高东低，盆地边缘绿洲区海拔高度为1500m左右，盆地内部海拔高度在1000m左右。</w:t>
      </w:r>
    </w:p>
    <w:p>
      <w:pPr>
        <w:spacing w:line="560" w:lineRule="exact"/>
        <w:ind w:firstLine="600" w:firstLineChars="200"/>
        <w:rPr>
          <w:rFonts w:ascii="仿宋" w:hAnsi="仿宋" w:eastAsia="仿宋"/>
          <w:sz w:val="30"/>
          <w:szCs w:val="30"/>
        </w:rPr>
      </w:pPr>
      <w:r>
        <w:rPr>
          <w:rFonts w:ascii="仿宋" w:hAnsi="仿宋" w:eastAsia="仿宋"/>
          <w:sz w:val="30"/>
          <w:szCs w:val="30"/>
        </w:rPr>
        <w:t>策勒县西南部的昆仑山西起帕米尔高原东部，横贯新疆、西藏间，伸延至青海境内，全长约2500km，海拔5500～6000m</w:t>
      </w:r>
      <w:r>
        <w:rPr>
          <w:rFonts w:hint="eastAsia" w:ascii="仿宋" w:hAnsi="仿宋" w:eastAsia="仿宋"/>
          <w:sz w:val="30"/>
          <w:szCs w:val="30"/>
        </w:rPr>
        <w:t>，</w:t>
      </w:r>
      <w:r>
        <w:rPr>
          <w:rFonts w:ascii="仿宋" w:hAnsi="仿宋" w:eastAsia="仿宋"/>
          <w:sz w:val="30"/>
          <w:szCs w:val="30"/>
        </w:rPr>
        <w:t>宽130～200km，西窄东宽总面积约50×104km</w:t>
      </w:r>
      <w:r>
        <w:rPr>
          <w:rFonts w:ascii="仿宋" w:hAnsi="仿宋" w:eastAsia="仿宋"/>
          <w:sz w:val="30"/>
          <w:szCs w:val="30"/>
          <w:vertAlign w:val="superscript"/>
        </w:rPr>
        <w:t>2</w:t>
      </w:r>
      <w:r>
        <w:rPr>
          <w:rFonts w:ascii="仿宋" w:hAnsi="仿宋" w:eastAsia="仿宋"/>
          <w:sz w:val="30"/>
          <w:szCs w:val="30"/>
        </w:rPr>
        <w:t>。昆仑山按照构造成因分为西昆仑山、中昆仑山和东昆仑山。中昆仑山西起叶城县与皮山县为界的乌鲁乌斯河，东到民丰县与且末县为界的安迪尔河（上游为波斯坦托格拉克河），中昆仑山全段在和田地区境内。南部山区海拔5000m以上为现代冰川和永久积雪带，是和田地区各河流的发源地。</w:t>
      </w:r>
    </w:p>
    <w:p>
      <w:pPr>
        <w:spacing w:line="560" w:lineRule="exact"/>
        <w:ind w:firstLine="600" w:firstLineChars="200"/>
        <w:rPr>
          <w:rFonts w:ascii="仿宋" w:hAnsi="仿宋" w:eastAsia="仿宋"/>
          <w:sz w:val="30"/>
          <w:szCs w:val="30"/>
        </w:rPr>
      </w:pPr>
      <w:r>
        <w:rPr>
          <w:rFonts w:ascii="仿宋" w:hAnsi="仿宋" w:eastAsia="仿宋"/>
          <w:sz w:val="30"/>
          <w:szCs w:val="30"/>
        </w:rPr>
        <w:t>区域地形总趋势是盆地地势低，盆地周围的山系地势高，高山环抱的地形结构对干旱环境的形成产生着深刻的影响。二大地貌单元基本特征如下</w:t>
      </w:r>
      <w:r>
        <w:rPr>
          <w:rFonts w:hint="eastAsia" w:ascii="仿宋" w:hAnsi="仿宋" w:eastAsia="仿宋"/>
          <w:sz w:val="30"/>
          <w:szCs w:val="30"/>
        </w:rPr>
        <w:t>：</w:t>
      </w:r>
    </w:p>
    <w:p>
      <w:pPr>
        <w:spacing w:line="560" w:lineRule="exact"/>
        <w:ind w:firstLine="600" w:firstLineChars="200"/>
        <w:rPr>
          <w:rFonts w:ascii="仿宋" w:hAnsi="仿宋" w:eastAsia="仿宋"/>
          <w:sz w:val="30"/>
          <w:szCs w:val="30"/>
        </w:rPr>
      </w:pPr>
      <w:r>
        <w:rPr>
          <w:rFonts w:hint="eastAsia" w:ascii="仿宋" w:hAnsi="仿宋" w:eastAsia="仿宋"/>
          <w:sz w:val="30"/>
          <w:szCs w:val="30"/>
        </w:rPr>
        <w:t>（1）</w:t>
      </w:r>
      <w:r>
        <w:rPr>
          <w:rFonts w:ascii="仿宋" w:hAnsi="仿宋" w:eastAsia="仿宋"/>
          <w:sz w:val="30"/>
          <w:szCs w:val="30"/>
        </w:rPr>
        <w:t>塔里木盆地</w:t>
      </w:r>
    </w:p>
    <w:p>
      <w:pPr>
        <w:spacing w:line="560" w:lineRule="exact"/>
        <w:ind w:firstLine="600" w:firstLineChars="200"/>
        <w:rPr>
          <w:rFonts w:ascii="仿宋" w:hAnsi="仿宋" w:eastAsia="仿宋"/>
          <w:sz w:val="30"/>
          <w:szCs w:val="30"/>
        </w:rPr>
      </w:pPr>
      <w:r>
        <w:rPr>
          <w:rFonts w:ascii="仿宋" w:hAnsi="仿宋" w:eastAsia="仿宋"/>
          <w:sz w:val="30"/>
          <w:szCs w:val="30"/>
        </w:rPr>
        <w:t>位于天山、昆仑山系和帕米尔高原之间，东西长约1500km，南北最宽处600km，面积53×10</w:t>
      </w:r>
      <w:r>
        <w:rPr>
          <w:rFonts w:ascii="仿宋" w:hAnsi="仿宋" w:eastAsia="仿宋"/>
          <w:sz w:val="30"/>
          <w:szCs w:val="30"/>
          <w:vertAlign w:val="superscript"/>
        </w:rPr>
        <w:t>4</w:t>
      </w:r>
      <w:r>
        <w:rPr>
          <w:rFonts w:ascii="仿宋" w:hAnsi="仿宋" w:eastAsia="仿宋"/>
          <w:sz w:val="30"/>
          <w:szCs w:val="30"/>
        </w:rPr>
        <w:t>km</w:t>
      </w:r>
      <w:r>
        <w:rPr>
          <w:rFonts w:ascii="仿宋" w:hAnsi="仿宋" w:eastAsia="仿宋"/>
          <w:sz w:val="30"/>
          <w:szCs w:val="30"/>
          <w:vertAlign w:val="superscript"/>
        </w:rPr>
        <w:t>2</w:t>
      </w:r>
      <w:r>
        <w:rPr>
          <w:rFonts w:ascii="仿宋" w:hAnsi="仿宋" w:eastAsia="仿宋"/>
          <w:sz w:val="30"/>
          <w:szCs w:val="30"/>
        </w:rPr>
        <w:t>。盆地四周高山环抱，盆底地形坦荡，形态完整呈菱形，只有东端有宽约70km的缺口与甘肃河西走廊相连接，是我国最大的内陆盆地。塔里木盆地为一全封闭性内陆盆地，从外围向中心可分为山麓带，山前砾质洪积带、冲积平原带及中部的塔克拉玛干沙漠。盆地地势西高东低，向北微倾，西部海拔1300m，东部的罗布泊降至768m，盆地平均海拔约1000m。塔里木盆地内流经有我国最长的内陆河—塔里木河，盆地蕴藏着丰富的石油资源，盆地边缘受天山、昆仑山冰雪融水滋润，分布着沃野绿洲。</w:t>
      </w:r>
    </w:p>
    <w:p>
      <w:pPr>
        <w:spacing w:line="560" w:lineRule="exact"/>
        <w:ind w:firstLine="600" w:firstLineChars="200"/>
        <w:rPr>
          <w:rFonts w:ascii="仿宋" w:hAnsi="仿宋" w:eastAsia="仿宋"/>
          <w:sz w:val="30"/>
          <w:szCs w:val="30"/>
        </w:rPr>
      </w:pPr>
      <w:r>
        <w:rPr>
          <w:rFonts w:ascii="仿宋" w:hAnsi="仿宋" w:eastAsia="仿宋"/>
          <w:sz w:val="30"/>
          <w:szCs w:val="30"/>
        </w:rPr>
        <w:t>由于盆地地处内陆，地形封闭，气候极端干旱，植被稀疏，干燥剥蚀和风蚀、风积作用特别强烈，形成了塔克拉玛干沙漠。塔克拉玛干沙漠面积为32.4×10</w:t>
      </w:r>
      <w:r>
        <w:rPr>
          <w:rFonts w:ascii="仿宋" w:hAnsi="仿宋" w:eastAsia="仿宋"/>
          <w:sz w:val="30"/>
          <w:szCs w:val="30"/>
          <w:vertAlign w:val="superscript"/>
        </w:rPr>
        <w:t>4</w:t>
      </w:r>
      <w:r>
        <w:rPr>
          <w:rFonts w:ascii="仿宋" w:hAnsi="仿宋" w:eastAsia="仿宋"/>
          <w:sz w:val="30"/>
          <w:szCs w:val="30"/>
        </w:rPr>
        <w:t>km</w:t>
      </w:r>
      <w:r>
        <w:rPr>
          <w:rFonts w:ascii="仿宋" w:hAnsi="仿宋" w:eastAsia="仿宋"/>
          <w:sz w:val="30"/>
          <w:szCs w:val="30"/>
          <w:vertAlign w:val="superscript"/>
        </w:rPr>
        <w:t>2</w:t>
      </w:r>
      <w:r>
        <w:rPr>
          <w:rFonts w:ascii="仿宋" w:hAnsi="仿宋" w:eastAsia="仿宋"/>
          <w:sz w:val="30"/>
          <w:szCs w:val="30"/>
        </w:rPr>
        <w:t>，沙漠东西长1000km，南北最宽处约500km，它是我国面积最大的沙漠，也是世界第二大流动性沙漠。沙漠中沙丘形态多样，但以新月形流动沙丘为主，流动沙丘占沙漠总面积60％，有的沙丘相对高度超过200m。</w:t>
      </w:r>
    </w:p>
    <w:p>
      <w:pPr>
        <w:spacing w:line="560" w:lineRule="exact"/>
        <w:ind w:firstLine="600" w:firstLineChars="200"/>
        <w:rPr>
          <w:rFonts w:ascii="仿宋" w:hAnsi="仿宋" w:eastAsia="仿宋"/>
          <w:sz w:val="30"/>
          <w:szCs w:val="30"/>
        </w:rPr>
      </w:pPr>
      <w:r>
        <w:rPr>
          <w:rFonts w:ascii="仿宋" w:hAnsi="仿宋" w:eastAsia="仿宋"/>
          <w:sz w:val="30"/>
          <w:szCs w:val="30"/>
        </w:rPr>
        <w:t>罗布洼地是塔里木盆地东部最低洼处，是盆地水系的最后归宿地，也是积盐中心，最低海拔768m。北部有众多风蚀墩与风蚀凹地相间组成的“雅丹”地貌，大致与主风向平行，因其形状似龙，顶部是盐结块，外表呈白色，《汉书·地理志》称为“白龙堆”。</w:t>
      </w:r>
    </w:p>
    <w:p>
      <w:pPr>
        <w:spacing w:line="560" w:lineRule="exact"/>
        <w:ind w:firstLine="600" w:firstLineChars="200"/>
        <w:rPr>
          <w:rFonts w:ascii="仿宋" w:hAnsi="仿宋" w:eastAsia="仿宋"/>
          <w:sz w:val="30"/>
          <w:szCs w:val="30"/>
        </w:rPr>
      </w:pPr>
      <w:r>
        <w:rPr>
          <w:rFonts w:hint="eastAsia" w:ascii="仿宋" w:hAnsi="仿宋" w:eastAsia="仿宋"/>
          <w:sz w:val="30"/>
          <w:szCs w:val="30"/>
        </w:rPr>
        <w:t>（2）</w:t>
      </w:r>
      <w:r>
        <w:rPr>
          <w:rFonts w:ascii="仿宋" w:hAnsi="仿宋" w:eastAsia="仿宋"/>
          <w:sz w:val="30"/>
          <w:szCs w:val="30"/>
        </w:rPr>
        <w:t>昆仑山系</w:t>
      </w:r>
    </w:p>
    <w:p>
      <w:pPr>
        <w:spacing w:line="560" w:lineRule="exact"/>
        <w:ind w:firstLine="600" w:firstLineChars="200"/>
        <w:rPr>
          <w:rFonts w:ascii="仿宋" w:hAnsi="仿宋" w:eastAsia="仿宋"/>
          <w:sz w:val="30"/>
          <w:szCs w:val="30"/>
        </w:rPr>
      </w:pPr>
      <w:r>
        <w:rPr>
          <w:rFonts w:ascii="仿宋" w:hAnsi="仿宋" w:eastAsia="仿宋"/>
          <w:sz w:val="30"/>
          <w:szCs w:val="30"/>
        </w:rPr>
        <w:t>昆仑山由西而东横贯青藏高原，长约2500km。昆仑山东段的一条支脉积石山继续东延与秦岭山脉相接，经陕西南部，东止于淮阳山。昆仑山环绕塔里木盆地的南缘，形成一条向东突出的弧形山，其范围从帕米尔高原一直绵延到柴达木盆地的边缘及藏北高原的广大地区。在新疆境内长达1800km，宽达150km，山脊线高度为5000—6000m，新疆与克什米尔之间耸立着海拔8611m的世界第二高峰乔戈里峰。整个山地可分为低山带、中山带和高山带，在高山带的起伏面上，覆盖着皑皑白雪，雪线高度在4000m以上。</w:t>
      </w:r>
    </w:p>
    <w:p>
      <w:pPr>
        <w:spacing w:line="560" w:lineRule="exact"/>
        <w:ind w:firstLine="600" w:firstLineChars="200"/>
        <w:rPr>
          <w:rFonts w:hint="eastAsia" w:ascii="仿宋" w:hAnsi="仿宋" w:eastAsia="仿宋"/>
          <w:sz w:val="30"/>
          <w:szCs w:val="30"/>
          <w:lang w:eastAsia="zh-CN"/>
        </w:rPr>
      </w:pPr>
      <w:r>
        <w:rPr>
          <w:rFonts w:ascii="仿宋" w:hAnsi="仿宋" w:eastAsia="仿宋"/>
          <w:sz w:val="30"/>
          <w:szCs w:val="30"/>
        </w:rPr>
        <w:t>策勒县地貌基本轮廓和形态受大地构造控制，根据成因类型由山区向平原区一般可分为侵蚀高中山地形、剥蚀低山丘陵地形、山前堆积地形和风积地形，简述如下</w:t>
      </w:r>
      <w:r>
        <w:rPr>
          <w:rFonts w:hint="eastAsia" w:ascii="仿宋" w:hAnsi="仿宋" w:eastAsia="仿宋"/>
          <w:sz w:val="30"/>
          <w:szCs w:val="30"/>
          <w:lang w:eastAsia="zh-CN"/>
        </w:rPr>
        <w:t>：</w:t>
      </w:r>
    </w:p>
    <w:p>
      <w:pPr>
        <w:spacing w:line="560" w:lineRule="exact"/>
        <w:ind w:firstLine="600" w:firstLineChars="200"/>
        <w:rPr>
          <w:rFonts w:ascii="仿宋" w:hAnsi="仿宋" w:eastAsia="仿宋"/>
          <w:sz w:val="30"/>
          <w:szCs w:val="30"/>
        </w:rPr>
      </w:pPr>
      <w:r>
        <w:rPr>
          <w:rFonts w:hint="eastAsia" w:ascii="仿宋" w:hAnsi="仿宋" w:eastAsia="仿宋"/>
          <w:sz w:val="30"/>
          <w:szCs w:val="30"/>
        </w:rPr>
        <w:t>①</w:t>
      </w:r>
      <w:r>
        <w:rPr>
          <w:rFonts w:ascii="仿宋" w:hAnsi="仿宋" w:eastAsia="仿宋"/>
          <w:sz w:val="30"/>
          <w:szCs w:val="30"/>
        </w:rPr>
        <w:t>侵蚀—剥蚀高中山地形</w:t>
      </w:r>
    </w:p>
    <w:p>
      <w:pPr>
        <w:spacing w:line="560" w:lineRule="exact"/>
        <w:ind w:firstLine="600" w:firstLineChars="200"/>
        <w:rPr>
          <w:rFonts w:ascii="仿宋" w:hAnsi="仿宋" w:eastAsia="仿宋"/>
          <w:sz w:val="30"/>
          <w:szCs w:val="30"/>
        </w:rPr>
      </w:pPr>
      <w:r>
        <w:rPr>
          <w:rFonts w:ascii="仿宋" w:hAnsi="仿宋" w:eastAsia="仿宋"/>
          <w:sz w:val="30"/>
          <w:szCs w:val="30"/>
        </w:rPr>
        <w:t>分布在昆仑山系海拔高程2500～8600m地带，由古老变质岩系及火成岩组成。山势高耸走向近东西，河流侵蚀切割作用强烈，多发育V形河谷，河床下切几十米至上百米，形成侵蚀阶地，此带基岩裸露，植物生长极少。在3500m以上分布有终年积雪和现代冰川，融冰雪水对本区地下水补给具有重要作用。</w:t>
      </w:r>
    </w:p>
    <w:p>
      <w:pPr>
        <w:spacing w:line="560" w:lineRule="exact"/>
        <w:ind w:firstLine="600" w:firstLineChars="200"/>
        <w:rPr>
          <w:rFonts w:ascii="仿宋" w:hAnsi="仿宋" w:eastAsia="仿宋"/>
          <w:sz w:val="30"/>
          <w:szCs w:val="30"/>
        </w:rPr>
      </w:pPr>
      <w:r>
        <w:rPr>
          <w:rFonts w:hint="eastAsia" w:ascii="仿宋" w:hAnsi="仿宋" w:eastAsia="仿宋"/>
          <w:sz w:val="30"/>
          <w:szCs w:val="30"/>
        </w:rPr>
        <w:t>②</w:t>
      </w:r>
      <w:r>
        <w:rPr>
          <w:rFonts w:ascii="仿宋" w:hAnsi="仿宋" w:eastAsia="仿宋"/>
          <w:sz w:val="30"/>
          <w:szCs w:val="30"/>
        </w:rPr>
        <w:t>剥蚀—侵蚀低山丘陵地形</w:t>
      </w:r>
    </w:p>
    <w:p>
      <w:pPr>
        <w:spacing w:line="560" w:lineRule="exact"/>
        <w:ind w:firstLine="600" w:firstLineChars="200"/>
        <w:rPr>
          <w:rFonts w:ascii="仿宋" w:hAnsi="仿宋" w:eastAsia="仿宋"/>
          <w:sz w:val="30"/>
          <w:szCs w:val="30"/>
        </w:rPr>
      </w:pPr>
      <w:r>
        <w:rPr>
          <w:rFonts w:ascii="仿宋" w:hAnsi="仿宋" w:eastAsia="仿宋"/>
          <w:sz w:val="30"/>
          <w:szCs w:val="30"/>
        </w:rPr>
        <w:t>分布在中高山区与河流出山口之间的前山带，主要由中新生界地层组成，海拔高程2500～1500m，由于褶皱构造的因素多形成剥蚀单斜低山，山坡陡峭，山顶尖凸，呈半环形展布，山势总体向平原方向降低。大部分河谷为U形，两侧有居民耕地，山坡无植物生长。出山口两侧多形成地形单一，成波状起伏的陇岗地形。</w:t>
      </w:r>
    </w:p>
    <w:p>
      <w:pPr>
        <w:spacing w:line="560" w:lineRule="exact"/>
        <w:ind w:firstLine="600" w:firstLineChars="200"/>
        <w:rPr>
          <w:rFonts w:ascii="仿宋" w:hAnsi="仿宋" w:eastAsia="仿宋"/>
          <w:sz w:val="30"/>
          <w:szCs w:val="30"/>
        </w:rPr>
      </w:pPr>
      <w:r>
        <w:rPr>
          <w:rFonts w:hint="eastAsia" w:ascii="仿宋" w:hAnsi="仿宋" w:eastAsia="仿宋"/>
          <w:sz w:val="30"/>
          <w:szCs w:val="30"/>
        </w:rPr>
        <w:t>③</w:t>
      </w:r>
      <w:r>
        <w:rPr>
          <w:rFonts w:ascii="仿宋" w:hAnsi="仿宋" w:eastAsia="仿宋"/>
          <w:sz w:val="30"/>
          <w:szCs w:val="30"/>
        </w:rPr>
        <w:t>山前堆积地形</w:t>
      </w:r>
    </w:p>
    <w:p>
      <w:pPr>
        <w:spacing w:line="560" w:lineRule="exact"/>
        <w:ind w:firstLine="600" w:firstLineChars="200"/>
        <w:rPr>
          <w:rFonts w:ascii="仿宋" w:hAnsi="仿宋" w:eastAsia="仿宋"/>
          <w:sz w:val="30"/>
          <w:szCs w:val="30"/>
        </w:rPr>
      </w:pPr>
      <w:r>
        <w:rPr>
          <w:rFonts w:ascii="仿宋" w:hAnsi="仿宋" w:eastAsia="仿宋"/>
          <w:sz w:val="30"/>
          <w:szCs w:val="30"/>
        </w:rPr>
        <w:t>分布于昆仑山、塔克拉玛干沙漠之间，地表较平坦，由第四系卵、砾石及砂组成，海拔高程1000～1500m，地形略呈扇形，大致以北西—南东方向沿山麓呈陇岗状分布。</w:t>
      </w:r>
    </w:p>
    <w:p>
      <w:pPr>
        <w:spacing w:line="560" w:lineRule="exact"/>
        <w:ind w:firstLine="600" w:firstLineChars="200"/>
        <w:rPr>
          <w:rFonts w:ascii="仿宋" w:hAnsi="仿宋" w:eastAsia="仿宋"/>
          <w:sz w:val="30"/>
          <w:szCs w:val="30"/>
        </w:rPr>
      </w:pPr>
      <w:r>
        <w:rPr>
          <w:rFonts w:hint="eastAsia" w:ascii="仿宋" w:hAnsi="仿宋" w:eastAsia="仿宋"/>
          <w:sz w:val="30"/>
          <w:szCs w:val="30"/>
        </w:rPr>
        <w:t>④</w:t>
      </w:r>
      <w:r>
        <w:rPr>
          <w:rFonts w:ascii="仿宋" w:hAnsi="仿宋" w:eastAsia="仿宋"/>
          <w:sz w:val="30"/>
          <w:szCs w:val="30"/>
        </w:rPr>
        <w:t>风积地形</w:t>
      </w:r>
    </w:p>
    <w:p>
      <w:pPr>
        <w:spacing w:line="560" w:lineRule="exact"/>
        <w:ind w:firstLine="600" w:firstLineChars="200"/>
        <w:rPr>
          <w:rFonts w:ascii="仿宋" w:hAnsi="仿宋" w:eastAsia="仿宋"/>
          <w:sz w:val="30"/>
          <w:szCs w:val="30"/>
        </w:rPr>
      </w:pPr>
      <w:r>
        <w:rPr>
          <w:rFonts w:ascii="仿宋" w:hAnsi="仿宋" w:eastAsia="仿宋"/>
          <w:sz w:val="30"/>
          <w:szCs w:val="30"/>
        </w:rPr>
        <w:t>主要分布在各河流下游的广大地区，由全新统风积细、粉砂组成，地表形态多表现为蜂窝状固定或半固定沙丘，其次为活动性链丘和新月形沙丘。沙丘边缘及河谷附近生长着野生胡杨林木、梭梭、红柳等植物，对沙丘起到了固定作用。</w:t>
      </w:r>
    </w:p>
    <w:p>
      <w:pPr>
        <w:spacing w:line="560" w:lineRule="exact"/>
        <w:ind w:firstLine="602" w:firstLineChars="200"/>
        <w:outlineLvl w:val="2"/>
        <w:rPr>
          <w:rFonts w:ascii="Times New Roman" w:hAnsi="Times New Roman" w:eastAsia="仿宋" w:cs="Times New Roman"/>
          <w:b/>
          <w:sz w:val="30"/>
          <w:szCs w:val="30"/>
        </w:rPr>
      </w:pPr>
      <w:r>
        <w:rPr>
          <w:rFonts w:hint="eastAsia" w:ascii="Times New Roman" w:hAnsi="Times New Roman" w:eastAsia="仿宋" w:cs="Times New Roman"/>
          <w:b/>
          <w:sz w:val="30"/>
          <w:szCs w:val="30"/>
        </w:rPr>
        <w:t>3、</w:t>
      </w:r>
      <w:r>
        <w:rPr>
          <w:rFonts w:ascii="Times New Roman" w:hAnsi="Times New Roman" w:eastAsia="仿宋" w:cs="Times New Roman"/>
          <w:b/>
          <w:sz w:val="30"/>
          <w:szCs w:val="30"/>
        </w:rPr>
        <w:t>气候气象</w:t>
      </w:r>
    </w:p>
    <w:p>
      <w:pPr>
        <w:spacing w:line="560" w:lineRule="exact"/>
        <w:ind w:firstLine="600" w:firstLineChars="200"/>
        <w:rPr>
          <w:rFonts w:ascii="仿宋" w:hAnsi="仿宋" w:eastAsia="仿宋" w:cs="仿宋"/>
          <w:kern w:val="0"/>
          <w:sz w:val="30"/>
          <w:szCs w:val="30"/>
        </w:rPr>
      </w:pPr>
      <w:r>
        <w:rPr>
          <w:rFonts w:hint="eastAsia" w:ascii="仿宋" w:hAnsi="仿宋" w:eastAsia="仿宋" w:cs="仿宋"/>
          <w:kern w:val="0"/>
          <w:sz w:val="30"/>
          <w:szCs w:val="30"/>
        </w:rPr>
        <w:t>策勒县深居内陆，远离海洋，地形复杂，南有昆仑山和青藏高原横卧，暖湿空气不易流入，北部为塔克拉玛干大沙漠和天山的阻隔，水气来源很少，形成了极度干旱的典型的大陆性暖温带沙漠气候。其主要特点是：光照充足，热量丰富；四季分明，无霜期长，昼夜温差大；干旱少雨，蒸发旺盛；春、夏季大风、沙暴和浮尘天气多；春旱、大风、沙暴、干热风等自然灾害发生频繁。根据地形差异，自南向北大致分为三个气候区。</w:t>
      </w:r>
    </w:p>
    <w:p>
      <w:pPr>
        <w:spacing w:line="560" w:lineRule="exact"/>
        <w:ind w:firstLine="600" w:firstLineChars="200"/>
        <w:rPr>
          <w:rFonts w:ascii="仿宋" w:hAnsi="仿宋" w:eastAsia="仿宋" w:cs="仿宋"/>
          <w:kern w:val="0"/>
          <w:sz w:val="30"/>
          <w:szCs w:val="30"/>
        </w:rPr>
      </w:pPr>
      <w:r>
        <w:rPr>
          <w:rFonts w:hint="eastAsia" w:ascii="仿宋" w:hAnsi="仿宋" w:eastAsia="仿宋" w:cs="仿宋"/>
          <w:kern w:val="0"/>
          <w:sz w:val="30"/>
          <w:szCs w:val="30"/>
        </w:rPr>
        <w:t>南部山区：年平均气温在4.7℃左右，气候寒冷，无四季之分，只有冷暖之别，冷季严寒多积雪，暖季短，气温低，年降水量在150～200毫米左右。</w:t>
      </w:r>
    </w:p>
    <w:p>
      <w:pPr>
        <w:spacing w:line="560" w:lineRule="exact"/>
        <w:ind w:firstLine="600" w:firstLineChars="200"/>
        <w:rPr>
          <w:rFonts w:ascii="仿宋" w:hAnsi="仿宋" w:eastAsia="仿宋" w:cs="仿宋"/>
          <w:kern w:val="0"/>
          <w:sz w:val="30"/>
          <w:szCs w:val="30"/>
        </w:rPr>
      </w:pPr>
      <w:r>
        <w:rPr>
          <w:rFonts w:hint="eastAsia" w:ascii="仿宋" w:hAnsi="仿宋" w:eastAsia="仿宋" w:cs="仿宋"/>
          <w:kern w:val="0"/>
          <w:sz w:val="30"/>
          <w:szCs w:val="30"/>
        </w:rPr>
        <w:t>山前起伏区：年平均气温在9.6～7.2℃，≥10℃的积温在3600℃以下，接近高寒山区地带，仅有冷、暖两季的区别，但暖季长于冷季；它又接近山下平原区地带，四季分明，但冬、春、秋季短；夏无酷暑，春季风沙天气少；年降水量在67毫米左右。</w:t>
      </w:r>
    </w:p>
    <w:p>
      <w:pPr>
        <w:spacing w:line="560" w:lineRule="exact"/>
        <w:ind w:firstLine="600" w:firstLineChars="200"/>
        <w:rPr>
          <w:rFonts w:ascii="仿宋" w:hAnsi="仿宋" w:eastAsia="仿宋" w:cs="仿宋"/>
          <w:kern w:val="0"/>
          <w:sz w:val="30"/>
          <w:szCs w:val="30"/>
        </w:rPr>
      </w:pPr>
      <w:r>
        <w:rPr>
          <w:rFonts w:hint="eastAsia" w:ascii="仿宋" w:hAnsi="仿宋" w:eastAsia="仿宋" w:cs="仿宋"/>
          <w:kern w:val="0"/>
          <w:sz w:val="30"/>
          <w:szCs w:val="30"/>
        </w:rPr>
        <w:t>平原区：四季分明，热量丰富，年平均气温12.3℃，≥10℃的积温在4200～4428.3℃之间，无霜期约233天。气温日较差15～16.8℃。年日照总时数在2687.2小时，日照百分率61%。太阳辐射年总量为144.4千卡/平方厘米，作物生长季节最丰富为100.4千卡/平方厘米，占总量的69.5%。干燥少雨，蒸发强烈，年降水量仅36.8毫米，年平均蒸发量2758.1毫米。年平均风速为1.9米/秒，全年盛行西风。平均浮尘日数为145天，平均扬沙日数为46天，平均沙尘暴日数为20天。春季风沙多，夏季炎热，且干燥，干热风多。</w:t>
      </w:r>
    </w:p>
    <w:p>
      <w:pPr>
        <w:spacing w:line="560" w:lineRule="exact"/>
        <w:ind w:firstLine="600" w:firstLineChars="200"/>
        <w:rPr>
          <w:rFonts w:ascii="Times New Roman" w:hAnsi="Times New Roman" w:eastAsia="宋体" w:cs="Times New Roman"/>
          <w:kern w:val="0"/>
          <w:sz w:val="28"/>
          <w:szCs w:val="28"/>
        </w:rPr>
      </w:pPr>
      <w:r>
        <w:rPr>
          <w:rFonts w:hint="eastAsia" w:ascii="仿宋" w:hAnsi="仿宋" w:eastAsia="仿宋" w:cs="仿宋"/>
          <w:kern w:val="0"/>
          <w:sz w:val="30"/>
          <w:szCs w:val="30"/>
        </w:rPr>
        <w:t>策勒县主要气候灾害有干旱、干热风、大风、霜冻。</w:t>
      </w:r>
    </w:p>
    <w:p>
      <w:pPr>
        <w:spacing w:line="560" w:lineRule="exact"/>
        <w:ind w:firstLine="602" w:firstLineChars="200"/>
        <w:outlineLvl w:val="2"/>
        <w:rPr>
          <w:rFonts w:ascii="Times New Roman" w:hAnsi="Times New Roman" w:eastAsia="仿宋" w:cs="Times New Roman"/>
          <w:b/>
          <w:sz w:val="30"/>
          <w:szCs w:val="30"/>
        </w:rPr>
      </w:pPr>
      <w:bookmarkStart w:id="12" w:name="_Toc27975"/>
      <w:r>
        <w:rPr>
          <w:rFonts w:hint="eastAsia" w:ascii="Times New Roman" w:hAnsi="Times New Roman" w:eastAsia="仿宋" w:cs="Times New Roman"/>
          <w:b/>
          <w:sz w:val="30"/>
          <w:szCs w:val="30"/>
        </w:rPr>
        <w:t>4、</w:t>
      </w:r>
      <w:r>
        <w:rPr>
          <w:rFonts w:ascii="Times New Roman" w:hAnsi="Times New Roman" w:eastAsia="仿宋" w:cs="Times New Roman"/>
          <w:b/>
          <w:sz w:val="30"/>
          <w:szCs w:val="30"/>
        </w:rPr>
        <w:t>土地资源</w:t>
      </w:r>
      <w:bookmarkEnd w:id="12"/>
    </w:p>
    <w:p>
      <w:pPr>
        <w:spacing w:line="560" w:lineRule="exact"/>
        <w:ind w:firstLine="600" w:firstLineChars="200"/>
        <w:rPr>
          <w:rFonts w:hint="eastAsia" w:ascii="仿宋" w:hAnsi="仿宋" w:eastAsia="仿宋" w:cs="仿宋"/>
          <w:kern w:val="0"/>
          <w:sz w:val="30"/>
          <w:szCs w:val="30"/>
        </w:rPr>
      </w:pPr>
      <w:r>
        <w:rPr>
          <w:rFonts w:hint="eastAsia" w:ascii="仿宋" w:hAnsi="仿宋" w:eastAsia="仿宋" w:cs="仿宋"/>
          <w:kern w:val="0"/>
          <w:sz w:val="30"/>
          <w:szCs w:val="30"/>
        </w:rPr>
        <w:t>全县土地总面积3157784.04公顷，农用地面积561418.95公顷，占土地总面积的17.78％，建设用地面积6293.75公顷，占土地总面积的0.20％。其他土地面积2590071.34公顷，占土地总面积的82.02％。</w:t>
      </w:r>
    </w:p>
    <w:p>
      <w:pPr>
        <w:spacing w:line="560" w:lineRule="exact"/>
        <w:ind w:firstLine="600" w:firstLineChars="200"/>
        <w:rPr>
          <w:rFonts w:hint="eastAsia" w:ascii="仿宋" w:hAnsi="仿宋" w:eastAsia="仿宋" w:cs="仿宋"/>
          <w:kern w:val="0"/>
          <w:sz w:val="30"/>
          <w:szCs w:val="30"/>
        </w:rPr>
      </w:pPr>
      <w:r>
        <w:rPr>
          <w:rFonts w:hint="eastAsia" w:ascii="仿宋" w:hAnsi="仿宋" w:eastAsia="仿宋" w:cs="仿宋"/>
          <w:kern w:val="0"/>
          <w:sz w:val="30"/>
          <w:szCs w:val="30"/>
        </w:rPr>
        <w:t>农用地中，耕地22941.54公顷，占农用地面积的4.09％；园地1548.12公顷，占农用地面积的0.28％；林地14048.98公顷，占农用地面积的2.50％；牧草地518032.18公顷，占农用地面积的92.27％；其他农用地4848.13公顷，占农用地面积的0.86％。</w:t>
      </w:r>
    </w:p>
    <w:p>
      <w:pPr>
        <w:spacing w:line="560" w:lineRule="exact"/>
        <w:ind w:firstLine="600" w:firstLineChars="200"/>
        <w:rPr>
          <w:rFonts w:hint="eastAsia" w:ascii="仿宋" w:hAnsi="仿宋" w:eastAsia="仿宋" w:cs="仿宋"/>
          <w:kern w:val="0"/>
          <w:sz w:val="30"/>
          <w:szCs w:val="30"/>
        </w:rPr>
      </w:pPr>
      <w:r>
        <w:rPr>
          <w:rFonts w:hint="eastAsia" w:ascii="仿宋" w:hAnsi="仿宋" w:eastAsia="仿宋" w:cs="仿宋"/>
          <w:kern w:val="0"/>
          <w:sz w:val="30"/>
          <w:szCs w:val="30"/>
        </w:rPr>
        <w:t>建设用地中，城乡建设用地面积5375.90公顷，占土地总面积的0.17％。其中：城镇用地248.06公顷，占城乡建设用地面积的4.61％；农村居民点用地5056.58公顷，占城乡建设用地面积的94.06％；采矿用地13.65公顷，占城乡建设用地面积的0.25％；其他独立建设用地57.61公顷，占城乡建设用地面积的1.07％。</w:t>
      </w:r>
    </w:p>
    <w:p>
      <w:pPr>
        <w:spacing w:line="560" w:lineRule="exact"/>
        <w:ind w:firstLine="600" w:firstLineChars="200"/>
        <w:rPr>
          <w:rFonts w:ascii="仿宋" w:hAnsi="仿宋" w:eastAsia="仿宋" w:cs="仿宋"/>
          <w:kern w:val="0"/>
          <w:sz w:val="30"/>
          <w:szCs w:val="30"/>
        </w:rPr>
      </w:pPr>
      <w:r>
        <w:rPr>
          <w:rFonts w:ascii="仿宋" w:hAnsi="仿宋" w:eastAsia="仿宋" w:cs="仿宋"/>
          <w:kern w:val="0"/>
          <w:sz w:val="30"/>
          <w:szCs w:val="30"/>
        </w:rPr>
        <w:t>交通水利用地面积736.68公顷，占土地总面积的0.02％。其中公路用地315.18公顷，占交通水利用地面积的42.78％；水库水面用地388.65公顷，占交通水利用地面积的52.76％；水工建筑用地32.85公顷，占交通水利用地面积的4.46％。</w:t>
      </w:r>
    </w:p>
    <w:p>
      <w:pPr>
        <w:spacing w:line="560" w:lineRule="exact"/>
        <w:ind w:firstLine="600" w:firstLineChars="200"/>
        <w:rPr>
          <w:rFonts w:hint="eastAsia" w:ascii="仿宋" w:hAnsi="仿宋" w:eastAsia="仿宋"/>
          <w:sz w:val="30"/>
          <w:szCs w:val="30"/>
        </w:rPr>
      </w:pPr>
      <w:r>
        <w:rPr>
          <w:rFonts w:ascii="仿宋" w:hAnsi="仿宋" w:eastAsia="仿宋" w:cs="仿宋"/>
          <w:kern w:val="0"/>
          <w:sz w:val="30"/>
          <w:szCs w:val="30"/>
        </w:rPr>
        <w:t>其他建设用地面积181.17公顷，全部为特殊用地，占土地总面积的0.01％。其中主要分布在策勒镇和固拉哈玛乡，分别为40.10公顷和35.23公顷。</w:t>
      </w:r>
    </w:p>
    <w:p>
      <w:pPr>
        <w:spacing w:line="560" w:lineRule="exact"/>
        <w:ind w:firstLine="602" w:firstLineChars="200"/>
        <w:outlineLvl w:val="2"/>
        <w:rPr>
          <w:rFonts w:ascii="Times New Roman" w:hAnsi="Times New Roman" w:eastAsia="仿宋" w:cs="Times New Roman"/>
          <w:b/>
          <w:sz w:val="30"/>
          <w:szCs w:val="30"/>
        </w:rPr>
      </w:pPr>
      <w:r>
        <w:rPr>
          <w:rFonts w:ascii="Times New Roman" w:hAnsi="Times New Roman" w:eastAsia="仿宋" w:cs="Times New Roman"/>
          <w:b/>
          <w:sz w:val="30"/>
          <w:szCs w:val="30"/>
        </w:rPr>
        <w:t>5</w:t>
      </w:r>
      <w:r>
        <w:rPr>
          <w:rFonts w:hint="eastAsia" w:ascii="Times New Roman" w:hAnsi="Times New Roman" w:eastAsia="仿宋" w:cs="Times New Roman"/>
          <w:b/>
          <w:sz w:val="30"/>
          <w:szCs w:val="30"/>
        </w:rPr>
        <w:t>、</w:t>
      </w:r>
      <w:r>
        <w:rPr>
          <w:rFonts w:ascii="Times New Roman" w:hAnsi="Times New Roman" w:eastAsia="仿宋" w:cs="Times New Roman"/>
          <w:b/>
          <w:sz w:val="30"/>
          <w:szCs w:val="30"/>
        </w:rPr>
        <w:t>土壤</w:t>
      </w:r>
    </w:p>
    <w:p>
      <w:pPr>
        <w:spacing w:line="560" w:lineRule="exact"/>
        <w:ind w:firstLine="600" w:firstLineChars="200"/>
        <w:rPr>
          <w:rFonts w:ascii="仿宋" w:hAnsi="仿宋" w:eastAsia="仿宋"/>
          <w:sz w:val="30"/>
          <w:szCs w:val="30"/>
        </w:rPr>
      </w:pPr>
      <w:r>
        <w:rPr>
          <w:rFonts w:ascii="仿宋" w:hAnsi="仿宋" w:eastAsia="仿宋" w:cs="仿宋"/>
          <w:kern w:val="0"/>
          <w:sz w:val="30"/>
          <w:szCs w:val="30"/>
        </w:rPr>
        <w:t>策勒县高山冰雪活动带，比较湿润寒冷的地区是高山冰沼土；在干旱寒冷地区是高山荒漠土；在亚高山带，湿润山地是山地草甸土，干旱山地是山地草甸草原土；中山带山地黑土、山地栗钙土；在中低山带，或称为山地草原带，主要是栗钙土、荒漠草原棕钙土；在半荒漠低山丘陵、山间盆地是山地灰钙土；在洪积扇为原始荒漠土。在河漫滩、低阶地是草甸土；在沼泽地、湖滨是沼泽土；在冲积扇缘及广大冲积平原地下水位较高处常有荒漠盐土分布。</w:t>
      </w:r>
    </w:p>
    <w:p>
      <w:pPr>
        <w:spacing w:line="560" w:lineRule="exact"/>
        <w:ind w:firstLine="602" w:firstLineChars="200"/>
        <w:outlineLvl w:val="2"/>
        <w:rPr>
          <w:rFonts w:ascii="Times New Roman" w:hAnsi="Times New Roman" w:eastAsia="仿宋" w:cs="Times New Roman"/>
          <w:b/>
          <w:sz w:val="30"/>
          <w:szCs w:val="30"/>
        </w:rPr>
      </w:pPr>
      <w:r>
        <w:rPr>
          <w:rFonts w:ascii="Times New Roman" w:hAnsi="Times New Roman" w:eastAsia="仿宋" w:cs="Times New Roman"/>
          <w:b/>
          <w:sz w:val="30"/>
          <w:szCs w:val="30"/>
        </w:rPr>
        <w:t>6</w:t>
      </w:r>
      <w:r>
        <w:rPr>
          <w:rFonts w:hint="eastAsia" w:ascii="Times New Roman" w:hAnsi="Times New Roman" w:eastAsia="仿宋" w:cs="Times New Roman"/>
          <w:b/>
          <w:sz w:val="30"/>
          <w:szCs w:val="30"/>
        </w:rPr>
        <w:t>、</w:t>
      </w:r>
      <w:r>
        <w:rPr>
          <w:rFonts w:ascii="Times New Roman" w:hAnsi="Times New Roman" w:eastAsia="仿宋" w:cs="Times New Roman"/>
          <w:b/>
          <w:sz w:val="30"/>
          <w:szCs w:val="30"/>
        </w:rPr>
        <w:t>动植物</w:t>
      </w:r>
    </w:p>
    <w:p>
      <w:pPr>
        <w:spacing w:line="560" w:lineRule="exact"/>
        <w:ind w:firstLine="600" w:firstLineChars="200"/>
        <w:rPr>
          <w:rFonts w:ascii="仿宋" w:hAnsi="仿宋" w:eastAsia="仿宋"/>
          <w:sz w:val="30"/>
          <w:szCs w:val="30"/>
        </w:rPr>
      </w:pPr>
      <w:r>
        <w:rPr>
          <w:rFonts w:ascii="仿宋" w:hAnsi="仿宋" w:eastAsia="仿宋"/>
          <w:sz w:val="30"/>
          <w:szCs w:val="30"/>
        </w:rPr>
        <w:t>策勒县境内野生动物种类有黄羊、狐狸、旱獭、狼、野猪、野兔、雪鸡、大雕、野鸭等生物资源。</w:t>
      </w:r>
    </w:p>
    <w:p>
      <w:pPr>
        <w:spacing w:line="560" w:lineRule="exact"/>
        <w:ind w:firstLine="600" w:firstLineChars="200"/>
        <w:rPr>
          <w:rFonts w:ascii="仿宋" w:hAnsi="仿宋" w:eastAsia="仿宋"/>
          <w:sz w:val="30"/>
          <w:szCs w:val="30"/>
        </w:rPr>
      </w:pPr>
      <w:r>
        <w:rPr>
          <w:rFonts w:ascii="仿宋" w:hAnsi="仿宋" w:eastAsia="仿宋"/>
          <w:sz w:val="30"/>
          <w:szCs w:val="30"/>
        </w:rPr>
        <w:t>植物有：杨柳、沙枣、胡杨、核桃、石榴、杏、桃、梨、苹果、雪莲、麻黄、牛蒡子、甘草、大芸、红花、枸杞。</w:t>
      </w:r>
    </w:p>
    <w:p>
      <w:pPr>
        <w:spacing w:line="560" w:lineRule="exact"/>
        <w:ind w:firstLine="600" w:firstLineChars="200"/>
        <w:rPr>
          <w:rFonts w:ascii="仿宋" w:hAnsi="仿宋" w:eastAsia="仿宋"/>
          <w:sz w:val="30"/>
          <w:szCs w:val="30"/>
        </w:rPr>
      </w:pPr>
      <w:r>
        <w:rPr>
          <w:rFonts w:ascii="仿宋" w:hAnsi="仿宋" w:eastAsia="仿宋"/>
          <w:sz w:val="30"/>
          <w:szCs w:val="30"/>
        </w:rPr>
        <w:t>农区植被主要为人工种植的农作物、经济林、用材林及防护林。</w:t>
      </w:r>
    </w:p>
    <w:p>
      <w:pPr>
        <w:spacing w:line="560" w:lineRule="exact"/>
        <w:ind w:firstLine="600" w:firstLineChars="200"/>
        <w:rPr>
          <w:rFonts w:ascii="仿宋" w:hAnsi="仿宋" w:eastAsia="仿宋"/>
          <w:sz w:val="30"/>
          <w:szCs w:val="30"/>
        </w:rPr>
      </w:pPr>
      <w:r>
        <w:rPr>
          <w:rFonts w:ascii="仿宋" w:hAnsi="仿宋" w:eastAsia="仿宋"/>
          <w:sz w:val="30"/>
          <w:szCs w:val="30"/>
        </w:rPr>
        <w:t>人工种植的主要粮食作物有：小麦、玉米、大麦等；经济作物有棉花、蔬菜、甜瓜等；饲料及绿肥作物有苜蓿、青贮玉米等。</w:t>
      </w:r>
    </w:p>
    <w:p>
      <w:pPr>
        <w:spacing w:line="560" w:lineRule="exact"/>
        <w:ind w:firstLine="600" w:firstLineChars="200"/>
        <w:rPr>
          <w:rFonts w:ascii="仿宋" w:hAnsi="仿宋" w:eastAsia="仿宋"/>
          <w:sz w:val="30"/>
          <w:szCs w:val="30"/>
        </w:rPr>
      </w:pPr>
      <w:r>
        <w:rPr>
          <w:rFonts w:ascii="仿宋" w:hAnsi="仿宋" w:eastAsia="仿宋"/>
          <w:sz w:val="30"/>
          <w:szCs w:val="30"/>
        </w:rPr>
        <w:t>人工种植的经济林树种主要以核桃、红枣、石榴、苹果、</w:t>
      </w:r>
      <w:r>
        <w:rPr>
          <w:rFonts w:hint="eastAsia" w:ascii="仿宋" w:hAnsi="仿宋" w:eastAsia="仿宋"/>
          <w:sz w:val="30"/>
          <w:szCs w:val="30"/>
          <w:lang w:val="en-US" w:eastAsia="zh-CN"/>
        </w:rPr>
        <w:t>杏子</w:t>
      </w:r>
      <w:r>
        <w:rPr>
          <w:rFonts w:ascii="仿宋" w:hAnsi="仿宋" w:eastAsia="仿宋"/>
          <w:sz w:val="30"/>
          <w:szCs w:val="30"/>
        </w:rPr>
        <w:t>、桃子等，人工种植的用材林及防护林树种有新疆杨、银白杨、箭杆杨、榆树、白腊、柳树等。</w:t>
      </w:r>
    </w:p>
    <w:p>
      <w:pPr>
        <w:spacing w:line="560" w:lineRule="exact"/>
        <w:ind w:firstLine="602" w:firstLineChars="200"/>
        <w:outlineLvl w:val="2"/>
        <w:rPr>
          <w:rFonts w:ascii="Times New Roman" w:hAnsi="Times New Roman" w:eastAsia="仿宋" w:cs="Times New Roman"/>
          <w:b/>
          <w:sz w:val="30"/>
          <w:szCs w:val="30"/>
        </w:rPr>
      </w:pPr>
      <w:r>
        <w:rPr>
          <w:rFonts w:ascii="Times New Roman" w:hAnsi="Times New Roman" w:eastAsia="仿宋" w:cs="Times New Roman"/>
          <w:b/>
          <w:sz w:val="30"/>
          <w:szCs w:val="30"/>
        </w:rPr>
        <w:t>7</w:t>
      </w:r>
      <w:r>
        <w:rPr>
          <w:rFonts w:hint="eastAsia" w:ascii="Times New Roman" w:hAnsi="Times New Roman" w:eastAsia="仿宋" w:cs="Times New Roman"/>
          <w:b/>
          <w:sz w:val="30"/>
          <w:szCs w:val="30"/>
        </w:rPr>
        <w:t>、</w:t>
      </w:r>
      <w:r>
        <w:rPr>
          <w:rFonts w:ascii="Times New Roman" w:hAnsi="Times New Roman" w:eastAsia="仿宋" w:cs="Times New Roman"/>
          <w:b/>
          <w:sz w:val="30"/>
          <w:szCs w:val="30"/>
        </w:rPr>
        <w:t>水文地质</w:t>
      </w:r>
    </w:p>
    <w:p>
      <w:pPr>
        <w:spacing w:line="560" w:lineRule="exact"/>
        <w:ind w:firstLine="600" w:firstLineChars="200"/>
        <w:rPr>
          <w:rFonts w:ascii="仿宋" w:hAnsi="仿宋" w:eastAsia="仿宋"/>
          <w:sz w:val="30"/>
          <w:szCs w:val="30"/>
        </w:rPr>
      </w:pPr>
      <w:r>
        <w:rPr>
          <w:rFonts w:ascii="仿宋" w:hAnsi="仿宋" w:eastAsia="仿宋"/>
          <w:sz w:val="30"/>
          <w:szCs w:val="30"/>
        </w:rPr>
        <w:t>在地质历史时期，由于地壳运动的作用，褶皱带成为山区，沉降带组成盆地。在山区的沉陷部分亦组成小型山间盆地或谷地。</w:t>
      </w:r>
    </w:p>
    <w:p>
      <w:pPr>
        <w:spacing w:line="560" w:lineRule="exact"/>
        <w:ind w:firstLine="600" w:firstLineChars="200"/>
        <w:rPr>
          <w:rFonts w:ascii="Times New Roman" w:hAnsi="Times New Roman" w:cs="Times New Roman"/>
          <w:kern w:val="0"/>
          <w:sz w:val="28"/>
          <w:szCs w:val="28"/>
          <w:lang w:bidi="ar"/>
        </w:rPr>
      </w:pPr>
      <w:r>
        <w:rPr>
          <w:rFonts w:ascii="仿宋" w:hAnsi="仿宋" w:eastAsia="仿宋"/>
          <w:sz w:val="30"/>
          <w:szCs w:val="30"/>
        </w:rPr>
        <w:t>由于策勒县位于欧亚大陆腹地，地形封闭，远离海洋，水汽难以进入，降水稀少，蒸发强烈，温差大，风力强，致使盆地平原区成为典型的大陆性干旱和半干旱的环境区，在气候、水文、地质构造及地貌条件制约下，其地下水形成、埋藏、分布和运动规律亦具其独特的特征。</w:t>
      </w:r>
    </w:p>
    <w:p>
      <w:pPr>
        <w:adjustRightInd w:val="0"/>
        <w:snapToGrid w:val="0"/>
        <w:spacing w:line="560" w:lineRule="exact"/>
        <w:ind w:firstLine="643" w:firstLineChars="200"/>
        <w:outlineLvl w:val="1"/>
        <w:rPr>
          <w:rFonts w:ascii="Times New Roman" w:hAnsi="Times New Roman" w:eastAsia="仿宋"/>
          <w:b/>
          <w:bCs/>
          <w:sz w:val="32"/>
          <w:szCs w:val="32"/>
        </w:rPr>
      </w:pPr>
      <w:bookmarkStart w:id="13" w:name="_Toc153706320"/>
      <w:bookmarkStart w:id="14" w:name="_Toc68713477"/>
      <w:r>
        <w:rPr>
          <w:rFonts w:ascii="仿宋" w:hAnsi="仿宋" w:eastAsia="仿宋"/>
          <w:b/>
          <w:bCs/>
          <w:sz w:val="32"/>
          <w:szCs w:val="32"/>
        </w:rPr>
        <w:t>（二）社会环境</w:t>
      </w:r>
      <w:bookmarkEnd w:id="13"/>
      <w:bookmarkEnd w:id="14"/>
    </w:p>
    <w:p>
      <w:pPr>
        <w:spacing w:line="560" w:lineRule="exact"/>
        <w:ind w:firstLine="602" w:firstLineChars="200"/>
        <w:outlineLvl w:val="2"/>
        <w:rPr>
          <w:rFonts w:ascii="Times New Roman" w:hAnsi="Times New Roman" w:eastAsia="仿宋" w:cs="Times New Roman"/>
          <w:b/>
          <w:sz w:val="30"/>
          <w:szCs w:val="30"/>
        </w:rPr>
      </w:pPr>
      <w:bookmarkStart w:id="15" w:name="_Toc13055"/>
      <w:bookmarkStart w:id="16" w:name="_Toc14601"/>
      <w:r>
        <w:rPr>
          <w:rFonts w:hint="eastAsia" w:ascii="Times New Roman" w:hAnsi="Times New Roman" w:eastAsia="仿宋" w:cs="Times New Roman"/>
          <w:b/>
          <w:sz w:val="30"/>
          <w:szCs w:val="30"/>
        </w:rPr>
        <w:t>1、</w:t>
      </w:r>
      <w:r>
        <w:rPr>
          <w:rFonts w:ascii="Times New Roman" w:hAnsi="Times New Roman" w:eastAsia="仿宋" w:cs="Times New Roman"/>
          <w:b/>
          <w:sz w:val="30"/>
          <w:szCs w:val="30"/>
        </w:rPr>
        <w:t>行政区划</w:t>
      </w:r>
      <w:bookmarkEnd w:id="15"/>
      <w:bookmarkEnd w:id="16"/>
    </w:p>
    <w:p>
      <w:pPr>
        <w:spacing w:line="560" w:lineRule="exact"/>
        <w:ind w:firstLine="600" w:firstLineChars="200"/>
        <w:jc w:val="left"/>
        <w:rPr>
          <w:rFonts w:ascii="仿宋" w:hAnsi="仿宋" w:eastAsia="仿宋" w:cs="仿宋"/>
          <w:kern w:val="0"/>
          <w:sz w:val="30"/>
          <w:szCs w:val="30"/>
        </w:rPr>
      </w:pPr>
      <w:r>
        <w:rPr>
          <w:rFonts w:ascii="仿宋" w:hAnsi="仿宋" w:eastAsia="仿宋" w:cs="仿宋"/>
          <w:kern w:val="0"/>
          <w:sz w:val="30"/>
          <w:szCs w:val="30"/>
        </w:rPr>
        <w:t>全县辖六乡两镇，即策勒乡、策勒镇、固拉哈玛镇、达玛沟乡、恰哈乡、乌鲁克萨依乡、奴尔乡和博斯坦乡。</w:t>
      </w:r>
    </w:p>
    <w:p>
      <w:pPr>
        <w:spacing w:line="560" w:lineRule="exact"/>
        <w:ind w:firstLine="602" w:firstLineChars="200"/>
        <w:outlineLvl w:val="2"/>
        <w:rPr>
          <w:rFonts w:ascii="Times New Roman" w:hAnsi="Times New Roman" w:eastAsia="仿宋" w:cs="Times New Roman"/>
          <w:b/>
          <w:sz w:val="30"/>
          <w:szCs w:val="30"/>
        </w:rPr>
      </w:pPr>
      <w:bookmarkStart w:id="17" w:name="_Toc5350"/>
      <w:bookmarkStart w:id="18" w:name="_Toc10860"/>
      <w:r>
        <w:rPr>
          <w:rFonts w:hint="eastAsia" w:ascii="Times New Roman" w:hAnsi="Times New Roman" w:eastAsia="仿宋" w:cs="Times New Roman"/>
          <w:b/>
          <w:sz w:val="30"/>
          <w:szCs w:val="30"/>
          <w:lang w:val="en-US" w:eastAsia="zh-CN"/>
        </w:rPr>
        <w:t>2</w:t>
      </w:r>
      <w:r>
        <w:rPr>
          <w:rFonts w:hint="eastAsia" w:ascii="Times New Roman" w:hAnsi="Times New Roman" w:eastAsia="仿宋" w:cs="Times New Roman"/>
          <w:b/>
          <w:sz w:val="30"/>
          <w:szCs w:val="30"/>
        </w:rPr>
        <w:t>、</w:t>
      </w:r>
      <w:r>
        <w:rPr>
          <w:rFonts w:ascii="Times New Roman" w:hAnsi="Times New Roman" w:eastAsia="仿宋" w:cs="Times New Roman"/>
          <w:b/>
          <w:sz w:val="30"/>
          <w:szCs w:val="30"/>
        </w:rPr>
        <w:t>经济发展状况</w:t>
      </w:r>
      <w:bookmarkEnd w:id="17"/>
      <w:bookmarkEnd w:id="18"/>
    </w:p>
    <w:p>
      <w:pPr>
        <w:spacing w:line="560" w:lineRule="exact"/>
        <w:ind w:firstLine="600" w:firstLineChars="200"/>
        <w:rPr>
          <w:rFonts w:hint="eastAsia" w:ascii="仿宋" w:hAnsi="仿宋" w:eastAsia="仿宋" w:cs="仿宋"/>
          <w:kern w:val="0"/>
          <w:sz w:val="30"/>
          <w:szCs w:val="30"/>
          <w:lang w:val="en-US" w:eastAsia="zh-CN"/>
        </w:rPr>
      </w:pPr>
      <w:bookmarkStart w:id="19" w:name="_Toc153706321"/>
      <w:bookmarkStart w:id="20" w:name="_Toc68713478"/>
      <w:r>
        <w:rPr>
          <w:rFonts w:hint="eastAsia" w:ascii="仿宋" w:hAnsi="仿宋" w:eastAsia="仿宋" w:cs="仿宋"/>
          <w:kern w:val="0"/>
          <w:sz w:val="30"/>
          <w:szCs w:val="30"/>
        </w:rPr>
        <w:t>2022年</w:t>
      </w:r>
      <w:r>
        <w:rPr>
          <w:rFonts w:ascii="仿宋" w:hAnsi="仿宋" w:eastAsia="仿宋" w:cs="仿宋"/>
          <w:kern w:val="0"/>
          <w:sz w:val="30"/>
          <w:szCs w:val="30"/>
        </w:rPr>
        <w:t>全年实现国内生产总值（GDP）32.44亿元，按不变价格计算，同比增长4.0%,两年平均增长5.1%。其中：第一产业增加值9.53亿元，同比增长0.6%；第二产业增加值3.93亿元，同比增长7.7%；第三产业增加值18.98亿元，同比增长4.9%。三大产业占国内生产总值的比重分别为：29.4∶12.1∶58.5</w:t>
      </w:r>
      <w:r>
        <w:rPr>
          <w:rFonts w:hint="eastAsia" w:ascii="仿宋" w:hAnsi="仿宋" w:eastAsia="仿宋" w:cs="仿宋"/>
          <w:kern w:val="0"/>
          <w:sz w:val="30"/>
          <w:szCs w:val="30"/>
          <w:lang w:eastAsia="zh-CN"/>
        </w:rPr>
        <w:t>。</w:t>
      </w:r>
    </w:p>
    <w:p>
      <w:pPr>
        <w:spacing w:line="560" w:lineRule="exact"/>
        <w:ind w:firstLine="600" w:firstLineChars="200"/>
        <w:rPr>
          <w:rFonts w:ascii="仿宋" w:hAnsi="仿宋" w:eastAsia="仿宋" w:cs="仿宋"/>
          <w:kern w:val="0"/>
          <w:sz w:val="30"/>
          <w:szCs w:val="30"/>
        </w:rPr>
      </w:pPr>
      <w:r>
        <w:rPr>
          <w:rFonts w:ascii="仿宋" w:hAnsi="仿宋" w:eastAsia="仿宋" w:cs="仿宋"/>
          <w:kern w:val="0"/>
          <w:sz w:val="30"/>
          <w:szCs w:val="30"/>
        </w:rPr>
        <w:t>1）农业生产现状</w:t>
      </w:r>
    </w:p>
    <w:p>
      <w:pPr>
        <w:spacing w:line="560" w:lineRule="exact"/>
        <w:ind w:firstLine="600" w:firstLineChars="200"/>
        <w:rPr>
          <w:rFonts w:ascii="仿宋" w:hAnsi="仿宋" w:eastAsia="仿宋" w:cs="仿宋"/>
          <w:kern w:val="0"/>
          <w:sz w:val="30"/>
          <w:szCs w:val="30"/>
        </w:rPr>
      </w:pPr>
      <w:r>
        <w:rPr>
          <w:rFonts w:ascii="仿宋" w:hAnsi="仿宋" w:eastAsia="仿宋" w:cs="仿宋"/>
          <w:kern w:val="0"/>
          <w:sz w:val="30"/>
          <w:szCs w:val="30"/>
        </w:rPr>
        <w:t>全年农林牧渔业总值25.42亿元，按可比价计算同比增长1.1%。其中：农业产值14.99亿元，同比增长13.5%；林业产值0.21亿元, 同比增长19.3%；牧业产值9.27亿元，同比下降15.6%；渔业产值0.0078亿元，同比增长11.4%。农林牧渔服务业产值0.94亿元，同比增长24.3%。</w:t>
      </w:r>
    </w:p>
    <w:p>
      <w:pPr>
        <w:spacing w:line="560" w:lineRule="exact"/>
        <w:ind w:firstLine="600" w:firstLineChars="200"/>
        <w:rPr>
          <w:rFonts w:ascii="仿宋" w:hAnsi="仿宋" w:eastAsia="仿宋" w:cs="仿宋"/>
          <w:kern w:val="0"/>
          <w:sz w:val="30"/>
          <w:szCs w:val="30"/>
        </w:rPr>
      </w:pPr>
      <w:r>
        <w:rPr>
          <w:rFonts w:ascii="仿宋" w:hAnsi="仿宋" w:eastAsia="仿宋" w:cs="仿宋"/>
          <w:kern w:val="0"/>
          <w:sz w:val="30"/>
          <w:szCs w:val="30"/>
        </w:rPr>
        <w:t>全年粮食播种面积255018亩，同比增长26.9%。谷物播种面积中，小麦播种面积107100.00亩，同比增长20.7%，玉米播种面积141583.50亩，同比增长35.8%，大麦播种面积750亩。其中：夏收谷物播种面积107850亩，秋粮谷物面积141583.5亩；豆类播种面积5169亩，同比下降17.3%；薯类播种面积415亩，同比下降75.4%。全年粮食总产量94054.88吨，同比下降27.3%。谷物产量中，小麦产量34600.17吨，同比下降24.4%，玉米产量57469.67吨，同比下降25.7%，大麦产量178.96吨。其中：夏收谷物产量34779.13吨，秋收谷物产量57469.67吨；豆类产量749.26吨，同比增长0.1%；薯类产量1056.82吨，同比下降81.0%。</w:t>
      </w:r>
    </w:p>
    <w:p>
      <w:pPr>
        <w:spacing w:line="560" w:lineRule="exact"/>
        <w:ind w:firstLine="600" w:firstLineChars="200"/>
        <w:rPr>
          <w:rFonts w:ascii="仿宋" w:hAnsi="仿宋" w:eastAsia="仿宋" w:cs="仿宋"/>
          <w:kern w:val="0"/>
          <w:sz w:val="30"/>
          <w:szCs w:val="30"/>
        </w:rPr>
      </w:pPr>
      <w:r>
        <w:rPr>
          <w:rFonts w:ascii="仿宋" w:hAnsi="仿宋" w:eastAsia="仿宋" w:cs="仿宋"/>
          <w:kern w:val="0"/>
          <w:sz w:val="30"/>
          <w:szCs w:val="30"/>
        </w:rPr>
        <w:t>全年经济作物播种面积42393.01亩，同比下降50.1%。其中：棉花播种面积7479亩，同比增长51.0%；油料作物播种面积13287.85亩，同比增长32.4%；蔬菜及食用菌种植面积17570.41亩，同比下降31.3%；瓜果类种植面积4055.75亩，同比增长153.4%。</w:t>
      </w:r>
    </w:p>
    <w:p>
      <w:pPr>
        <w:spacing w:line="560" w:lineRule="exact"/>
        <w:ind w:firstLine="600" w:firstLineChars="200"/>
        <w:rPr>
          <w:rFonts w:ascii="仿宋" w:hAnsi="仿宋" w:eastAsia="仿宋" w:cs="仿宋"/>
          <w:kern w:val="0"/>
          <w:sz w:val="30"/>
          <w:szCs w:val="30"/>
        </w:rPr>
      </w:pPr>
      <w:r>
        <w:rPr>
          <w:rFonts w:ascii="仿宋" w:hAnsi="仿宋" w:eastAsia="仿宋" w:cs="仿宋"/>
          <w:kern w:val="0"/>
          <w:sz w:val="30"/>
          <w:szCs w:val="30"/>
        </w:rPr>
        <w:t>全年经济作物产量43195.16吨，同比下降44.5%。其中：棉花总产量972.6吨，同比增长55.7%；油料总产量2124.38吨，同比增长33.9%；蔬菜总产量30965.72吨，同比下降55.6%；瓜果类总产量9132.46吨，同比增长92.76%。</w:t>
      </w:r>
    </w:p>
    <w:p>
      <w:pPr>
        <w:spacing w:line="560" w:lineRule="exact"/>
        <w:ind w:firstLine="600" w:firstLineChars="200"/>
        <w:rPr>
          <w:rFonts w:ascii="仿宋" w:hAnsi="仿宋" w:eastAsia="仿宋" w:cs="仿宋"/>
          <w:kern w:val="0"/>
          <w:sz w:val="30"/>
          <w:szCs w:val="30"/>
        </w:rPr>
      </w:pPr>
      <w:r>
        <w:rPr>
          <w:rFonts w:ascii="仿宋" w:hAnsi="仿宋" w:eastAsia="仿宋" w:cs="仿宋"/>
          <w:kern w:val="0"/>
          <w:sz w:val="30"/>
          <w:szCs w:val="30"/>
        </w:rPr>
        <w:t>全年畜禽产品产量12714吨，同比下降127.1%。其中：牛肉产量1168吨，同比下降47.3%；羊肉产量7327吨，同比下降10.5%；禽肉产量445.5吨，同比增长33.0%；禽蛋产量1459吨，同比下降40.7%；生牛奶产量1808吨，同比下降51.9%。</w:t>
      </w:r>
    </w:p>
    <w:p>
      <w:pPr>
        <w:spacing w:line="560" w:lineRule="exact"/>
        <w:ind w:firstLine="600" w:firstLineChars="200"/>
        <w:rPr>
          <w:rFonts w:ascii="仿宋" w:hAnsi="仿宋" w:eastAsia="仿宋" w:cs="仿宋"/>
          <w:kern w:val="0"/>
          <w:sz w:val="30"/>
          <w:szCs w:val="30"/>
        </w:rPr>
      </w:pPr>
      <w:r>
        <w:rPr>
          <w:rFonts w:ascii="仿宋" w:hAnsi="仿宋" w:eastAsia="仿宋" w:cs="仿宋"/>
          <w:kern w:val="0"/>
          <w:sz w:val="30"/>
          <w:szCs w:val="30"/>
        </w:rPr>
        <w:t>年末牛存栏1.9481万头，同比增长22.5%；羊存栏74.2076万只，同比下降18.7%；家禽存栏41.934万只，同比下降13.6%</w:t>
      </w:r>
      <w:r>
        <w:rPr>
          <w:rFonts w:hint="eastAsia" w:ascii="仿宋" w:hAnsi="仿宋" w:eastAsia="仿宋" w:cs="仿宋"/>
          <w:kern w:val="0"/>
          <w:sz w:val="30"/>
          <w:szCs w:val="30"/>
        </w:rPr>
        <w:t>。</w:t>
      </w:r>
    </w:p>
    <w:p>
      <w:pPr>
        <w:spacing w:line="560" w:lineRule="exact"/>
        <w:ind w:firstLine="600" w:firstLineChars="200"/>
        <w:rPr>
          <w:rFonts w:ascii="仿宋" w:hAnsi="仿宋" w:eastAsia="仿宋" w:cs="仿宋"/>
          <w:kern w:val="0"/>
          <w:sz w:val="30"/>
          <w:szCs w:val="30"/>
        </w:rPr>
      </w:pPr>
      <w:r>
        <w:rPr>
          <w:rFonts w:hint="eastAsia" w:ascii="仿宋" w:hAnsi="仿宋" w:eastAsia="仿宋" w:cs="仿宋"/>
          <w:kern w:val="0"/>
          <w:sz w:val="30"/>
          <w:szCs w:val="30"/>
        </w:rPr>
        <w:t>全年农作物种植面积312840.84亩，农用化肥施用量5412.15吨，同比增长3.1%。其中：氮肥3347.40吨，磷肥1814.48吨，钾肥15.64吨，复合肥234.63吨。</w:t>
      </w:r>
    </w:p>
    <w:p>
      <w:pPr>
        <w:spacing w:line="560" w:lineRule="exact"/>
        <w:ind w:firstLine="600" w:firstLineChars="200"/>
        <w:rPr>
          <w:rFonts w:ascii="仿宋" w:hAnsi="仿宋" w:eastAsia="仿宋" w:cs="仿宋"/>
          <w:kern w:val="0"/>
          <w:sz w:val="30"/>
          <w:szCs w:val="30"/>
        </w:rPr>
      </w:pPr>
      <w:r>
        <w:rPr>
          <w:rFonts w:hint="eastAsia" w:ascii="仿宋" w:hAnsi="仿宋" w:eastAsia="仿宋" w:cs="仿宋"/>
          <w:kern w:val="0"/>
          <w:sz w:val="30"/>
          <w:szCs w:val="30"/>
        </w:rPr>
        <w:t>全年有效灌溉面积50.76万亩，实际耕地灌溉面积29.29万亩，同比增长23.3%。节水灌溉面积32.997万亩，同比增长22.7%。其中：高效节水灌溉面积18.257万亩。</w:t>
      </w:r>
    </w:p>
    <w:p>
      <w:pPr>
        <w:spacing w:line="560" w:lineRule="exact"/>
        <w:ind w:firstLine="600" w:firstLineChars="200"/>
        <w:rPr>
          <w:rFonts w:ascii="仿宋" w:hAnsi="仿宋" w:eastAsia="仿宋" w:cs="仿宋"/>
          <w:kern w:val="0"/>
          <w:sz w:val="30"/>
          <w:szCs w:val="30"/>
        </w:rPr>
      </w:pPr>
      <w:r>
        <w:rPr>
          <w:rFonts w:ascii="仿宋" w:hAnsi="仿宋" w:eastAsia="仿宋" w:cs="仿宋"/>
          <w:kern w:val="0"/>
          <w:sz w:val="30"/>
          <w:szCs w:val="30"/>
        </w:rPr>
        <w:t>2）工业生产现状</w:t>
      </w:r>
    </w:p>
    <w:p>
      <w:pPr>
        <w:spacing w:line="560" w:lineRule="exact"/>
        <w:ind w:firstLine="600" w:firstLineChars="200"/>
        <w:rPr>
          <w:rFonts w:ascii="仿宋" w:hAnsi="仿宋" w:eastAsia="仿宋" w:cs="仿宋"/>
          <w:kern w:val="0"/>
          <w:sz w:val="30"/>
          <w:szCs w:val="30"/>
        </w:rPr>
      </w:pPr>
      <w:r>
        <w:rPr>
          <w:rFonts w:hint="eastAsia" w:ascii="仿宋" w:hAnsi="仿宋" w:eastAsia="仿宋" w:cs="仿宋"/>
          <w:kern w:val="0"/>
          <w:sz w:val="30"/>
          <w:szCs w:val="30"/>
        </w:rPr>
        <w:t>全年工业总产值 71191.4万元，同比增长31.8%，其中：规模以上工业总产值13890.2万元，同比增长38.9%，规模以下工业总产值57301.2万元，同比增长30.3%。全年工业增加值</w:t>
      </w:r>
      <w:r>
        <w:rPr>
          <w:rFonts w:ascii="仿宋" w:hAnsi="仿宋" w:eastAsia="仿宋" w:cs="仿宋"/>
          <w:kern w:val="0"/>
          <w:sz w:val="30"/>
          <w:szCs w:val="30"/>
        </w:rPr>
        <w:t>13951.4万元，同比增长6.8%，其中：规模以上工业增加值3398.5万元，同比下降1.8%，规模以下工业增加值10552.9万元，同比增长14.9%。</w:t>
      </w:r>
    </w:p>
    <w:p>
      <w:pPr>
        <w:adjustRightInd w:val="0"/>
        <w:snapToGrid w:val="0"/>
        <w:spacing w:line="560" w:lineRule="exact"/>
        <w:ind w:firstLine="643" w:firstLineChars="200"/>
        <w:outlineLvl w:val="1"/>
        <w:rPr>
          <w:rFonts w:ascii="Times New Roman" w:hAnsi="Times New Roman" w:eastAsia="仿宋" w:cs="Times New Roman"/>
          <w:b/>
          <w:sz w:val="32"/>
          <w:szCs w:val="32"/>
        </w:rPr>
      </w:pPr>
      <w:r>
        <w:rPr>
          <w:rFonts w:ascii="Times New Roman" w:hAnsi="Times New Roman" w:eastAsia="仿宋" w:cs="Times New Roman"/>
          <w:b/>
          <w:sz w:val="32"/>
          <w:szCs w:val="32"/>
        </w:rPr>
        <w:t>（三）水资源分布及开发利用现状</w:t>
      </w:r>
      <w:bookmarkEnd w:id="19"/>
      <w:bookmarkEnd w:id="20"/>
    </w:p>
    <w:p>
      <w:pPr>
        <w:spacing w:line="560" w:lineRule="exact"/>
        <w:ind w:firstLine="602" w:firstLineChars="200"/>
        <w:rPr>
          <w:rFonts w:ascii="Times New Roman" w:hAnsi="Times New Roman" w:eastAsia="仿宋" w:cs="Times New Roman"/>
          <w:b/>
          <w:sz w:val="30"/>
          <w:szCs w:val="30"/>
        </w:rPr>
      </w:pPr>
      <w:r>
        <w:rPr>
          <w:rFonts w:ascii="Times New Roman" w:hAnsi="Times New Roman" w:eastAsia="仿宋" w:cs="Times New Roman"/>
          <w:b/>
          <w:sz w:val="30"/>
          <w:szCs w:val="30"/>
        </w:rPr>
        <w:t>1、</w:t>
      </w:r>
      <w:r>
        <w:rPr>
          <w:rFonts w:hint="eastAsia" w:ascii="Times New Roman" w:hAnsi="Times New Roman" w:eastAsia="仿宋" w:cs="Times New Roman"/>
          <w:b/>
          <w:sz w:val="30"/>
          <w:szCs w:val="30"/>
        </w:rPr>
        <w:t>策勒</w:t>
      </w:r>
      <w:r>
        <w:rPr>
          <w:rFonts w:ascii="Times New Roman" w:hAnsi="Times New Roman" w:eastAsia="仿宋" w:cs="Times New Roman"/>
          <w:b/>
          <w:sz w:val="30"/>
          <w:szCs w:val="30"/>
        </w:rPr>
        <w:t>水资源分布</w:t>
      </w:r>
    </w:p>
    <w:p>
      <w:pPr>
        <w:spacing w:line="560" w:lineRule="exact"/>
        <w:ind w:firstLine="600" w:firstLineChars="200"/>
        <w:rPr>
          <w:rFonts w:hint="default" w:ascii="Times New Roman" w:hAnsi="Times New Roman" w:eastAsia="仿宋" w:cs="Times New Roman"/>
          <w:kern w:val="0"/>
          <w:sz w:val="30"/>
          <w:szCs w:val="30"/>
        </w:rPr>
      </w:pPr>
      <w:r>
        <w:rPr>
          <w:rFonts w:hint="default" w:ascii="Times New Roman" w:hAnsi="Times New Roman" w:eastAsia="仿宋" w:cs="Times New Roman"/>
          <w:kern w:val="0"/>
          <w:sz w:val="30"/>
          <w:szCs w:val="30"/>
        </w:rPr>
        <w:t>全县总水资源可利用量6.9亿立方米。其中地表水主要包括9条大小河流，11条泉水沟，地表水年径流总量6.8亿立方米，可利用量5.7亿立方米；地下水可开采量1.449亿立方米。</w:t>
      </w:r>
    </w:p>
    <w:p>
      <w:pPr>
        <w:spacing w:line="560" w:lineRule="exact"/>
        <w:ind w:firstLine="600" w:firstLineChars="200"/>
        <w:rPr>
          <w:rFonts w:hint="default" w:ascii="Times New Roman" w:hAnsi="Times New Roman" w:eastAsia="仿宋" w:cs="Times New Roman"/>
          <w:kern w:val="0"/>
          <w:sz w:val="30"/>
          <w:szCs w:val="30"/>
        </w:rPr>
      </w:pPr>
      <w:r>
        <w:rPr>
          <w:rFonts w:hint="default" w:ascii="Times New Roman" w:hAnsi="Times New Roman" w:eastAsia="仿宋" w:cs="Times New Roman"/>
          <w:kern w:val="0"/>
          <w:sz w:val="30"/>
          <w:szCs w:val="30"/>
        </w:rPr>
        <w:t>县域内昆仑山北坡的9条河流中，只有策勒河和奴尔河河水可以常年流至下游灌区。其他河流枯水季为山区农牧业及生活引用，或渗入地下；洪水季节，河水流经倾斜平原和戈壁沙滩，除农业用水外，均沿途渗漏补给地下，并在平原区固拉哈玛镇和达玛沟乡一带溢出形成泉水沟。</w:t>
      </w:r>
    </w:p>
    <w:p>
      <w:pPr>
        <w:spacing w:line="560" w:lineRule="exact"/>
        <w:ind w:firstLine="600" w:firstLineChars="200"/>
        <w:rPr>
          <w:rFonts w:hint="default" w:ascii="Times New Roman" w:hAnsi="Times New Roman" w:eastAsia="仿宋" w:cs="Times New Roman"/>
          <w:kern w:val="0"/>
          <w:sz w:val="30"/>
          <w:szCs w:val="30"/>
        </w:rPr>
      </w:pPr>
      <w:r>
        <w:rPr>
          <w:rFonts w:hint="default" w:ascii="Times New Roman" w:hAnsi="Times New Roman" w:eastAsia="仿宋" w:cs="Times New Roman"/>
          <w:kern w:val="0"/>
          <w:sz w:val="30"/>
          <w:szCs w:val="30"/>
        </w:rPr>
        <w:t>县域内各河流均为季节性河流，地表径流与塔里木盆地其他河流一样，径流的年际变化不大，年内分配不均。6～8月为洪水期，水量占全年的76.9％，冬季径流最小，水量占全年的2.89％，春季水量占全年的9.3％，秋季水量占全年的10.9％。</w:t>
      </w:r>
    </w:p>
    <w:p>
      <w:pPr>
        <w:spacing w:line="560" w:lineRule="exact"/>
        <w:ind w:firstLine="600" w:firstLineChars="200"/>
        <w:rPr>
          <w:rFonts w:hint="default" w:ascii="Times New Roman" w:hAnsi="Times New Roman" w:eastAsia="仿宋" w:cs="Times New Roman"/>
          <w:kern w:val="0"/>
          <w:sz w:val="30"/>
          <w:szCs w:val="30"/>
        </w:rPr>
      </w:pPr>
      <w:r>
        <w:rPr>
          <w:rFonts w:hint="default" w:ascii="Times New Roman" w:hAnsi="Times New Roman" w:eastAsia="仿宋" w:cs="Times New Roman"/>
          <w:kern w:val="0"/>
          <w:sz w:val="30"/>
          <w:szCs w:val="30"/>
        </w:rPr>
        <w:t>策勒县可利用的地表水资源量主要来自于策勒县以南中昆仑山北麓的策勒河、奴尔河、恰哈河、乌鲁克萨依河等9条河流，各河流年地表径流总量6.8亿m³（不包括发源于昆仑山南坡玉龙喀什河，以及昆仑山区的阿克库勒湖、乌库克库勒湖等封闭内陆区），地表水可利用量5.7亿m³。</w:t>
      </w:r>
    </w:p>
    <w:p>
      <w:pPr>
        <w:spacing w:line="560" w:lineRule="exact"/>
        <w:ind w:firstLine="600" w:firstLineChars="200"/>
        <w:rPr>
          <w:rFonts w:hint="default" w:ascii="Times New Roman" w:hAnsi="Times New Roman" w:eastAsia="仿宋" w:cs="Times New Roman"/>
          <w:kern w:val="0"/>
          <w:sz w:val="30"/>
          <w:szCs w:val="30"/>
          <w:lang w:bidi="ar"/>
        </w:rPr>
      </w:pPr>
      <w:r>
        <w:rPr>
          <w:rFonts w:hint="default" w:ascii="Times New Roman" w:hAnsi="Times New Roman" w:eastAsia="仿宋" w:cs="Times New Roman"/>
          <w:kern w:val="0"/>
          <w:sz w:val="30"/>
          <w:szCs w:val="30"/>
        </w:rPr>
        <w:t>1）策勒河：位于策勒县，发源于策勒县境内的昆仑山北坡，</w:t>
      </w:r>
      <w:r>
        <w:rPr>
          <w:rFonts w:hint="default" w:ascii="Times New Roman" w:hAnsi="Times New Roman" w:eastAsia="仿宋" w:cs="Times New Roman"/>
          <w:kern w:val="0"/>
          <w:sz w:val="30"/>
          <w:szCs w:val="30"/>
          <w:lang w:bidi="ar"/>
        </w:rPr>
        <w:t>高山区因受高原季风和西风环流的影响，降水量在400～500mm，属雨雪混合补给型河流。河流全长134km，流域面积3284.7km</w:t>
      </w:r>
      <w:r>
        <w:rPr>
          <w:rFonts w:hint="default" w:ascii="Times New Roman" w:hAnsi="Times New Roman" w:eastAsia="仿宋" w:cs="Times New Roman"/>
          <w:kern w:val="0"/>
          <w:sz w:val="30"/>
          <w:szCs w:val="30"/>
          <w:vertAlign w:val="superscript"/>
          <w:lang w:bidi="ar"/>
        </w:rPr>
        <w:t>2</w:t>
      </w:r>
      <w:r>
        <w:rPr>
          <w:rFonts w:hint="default" w:ascii="Times New Roman" w:hAnsi="Times New Roman" w:eastAsia="仿宋" w:cs="Times New Roman"/>
          <w:kern w:val="0"/>
          <w:sz w:val="30"/>
          <w:szCs w:val="30"/>
          <w:lang w:bidi="ar"/>
        </w:rPr>
        <w:t>，年平均径流量1.459亿立方米，下泄生态基流0.221亿立方米，可利用量1.238亿立方米。</w:t>
      </w:r>
    </w:p>
    <w:p>
      <w:pPr>
        <w:spacing w:line="560" w:lineRule="exact"/>
        <w:ind w:firstLine="600" w:firstLineChars="200"/>
        <w:rPr>
          <w:rFonts w:hint="default" w:ascii="Times New Roman" w:hAnsi="Times New Roman" w:eastAsia="仿宋" w:cs="Times New Roman"/>
          <w:kern w:val="0"/>
          <w:sz w:val="30"/>
          <w:szCs w:val="30"/>
          <w:lang w:bidi="ar"/>
        </w:rPr>
      </w:pPr>
      <w:r>
        <w:rPr>
          <w:rFonts w:hint="default" w:ascii="Times New Roman" w:hAnsi="Times New Roman" w:eastAsia="仿宋" w:cs="Times New Roman"/>
          <w:kern w:val="0"/>
          <w:sz w:val="30"/>
          <w:szCs w:val="30"/>
          <w:lang w:bidi="ar"/>
        </w:rPr>
        <w:t>2）恰哈河：恰哈河是策勒县境内第三条较大的河流，该河流出山口后呈南北走向，最后耗散于塔克拉玛干沙漠腹地。河流全长131km，流域面积1196.6km</w:t>
      </w:r>
      <w:r>
        <w:rPr>
          <w:rFonts w:hint="default" w:ascii="Times New Roman" w:hAnsi="Times New Roman" w:eastAsia="仿宋" w:cs="Times New Roman"/>
          <w:kern w:val="0"/>
          <w:sz w:val="30"/>
          <w:szCs w:val="30"/>
          <w:vertAlign w:val="superscript"/>
          <w:lang w:bidi="ar"/>
        </w:rPr>
        <w:t>2</w:t>
      </w:r>
      <w:r>
        <w:rPr>
          <w:rFonts w:hint="default" w:ascii="Times New Roman" w:hAnsi="Times New Roman" w:eastAsia="仿宋" w:cs="Times New Roman"/>
          <w:kern w:val="0"/>
          <w:sz w:val="30"/>
          <w:szCs w:val="30"/>
          <w:lang w:bidi="ar"/>
        </w:rPr>
        <w:t>，东与玉龙代里亚河相连，西与策勒河相邻。年平均径流量1.17亿立方米，下泄生态基流0.1972亿立方米，可利用量0.9728亿立方米。</w:t>
      </w:r>
    </w:p>
    <w:p>
      <w:pPr>
        <w:spacing w:line="560" w:lineRule="exact"/>
        <w:ind w:firstLine="600" w:firstLineChars="200"/>
        <w:rPr>
          <w:rFonts w:hint="default" w:ascii="Times New Roman" w:hAnsi="Times New Roman" w:eastAsia="仿宋" w:cs="Times New Roman"/>
          <w:kern w:val="0"/>
          <w:sz w:val="30"/>
          <w:szCs w:val="30"/>
          <w:lang w:bidi="ar"/>
        </w:rPr>
      </w:pPr>
      <w:r>
        <w:rPr>
          <w:rFonts w:hint="default" w:ascii="Times New Roman" w:hAnsi="Times New Roman" w:eastAsia="仿宋" w:cs="Times New Roman"/>
          <w:kern w:val="0"/>
          <w:sz w:val="30"/>
          <w:szCs w:val="30"/>
          <w:lang w:bidi="ar"/>
        </w:rPr>
        <w:t>3）乌鲁克萨依河：该河发源于慕士山，河源海拔高程6638m。径流主要以冰雪融水组成。乌鲁克萨依总河长126.7km，流域面积2896.7km</w:t>
      </w:r>
      <w:r>
        <w:rPr>
          <w:rFonts w:hint="default" w:ascii="Times New Roman" w:hAnsi="Times New Roman" w:eastAsia="仿宋" w:cs="Times New Roman"/>
          <w:kern w:val="0"/>
          <w:sz w:val="30"/>
          <w:szCs w:val="30"/>
          <w:vertAlign w:val="superscript"/>
          <w:lang w:bidi="ar"/>
        </w:rPr>
        <w:t>2</w:t>
      </w:r>
      <w:r>
        <w:rPr>
          <w:rFonts w:hint="default" w:ascii="Times New Roman" w:hAnsi="Times New Roman" w:eastAsia="仿宋" w:cs="Times New Roman"/>
          <w:kern w:val="0"/>
          <w:sz w:val="30"/>
          <w:szCs w:val="30"/>
          <w:lang w:bidi="ar"/>
        </w:rPr>
        <w:t>，乌鲁克萨依河在流经乌鲁克萨依乡后有三支支流汇入，分别为玉龙代里亚河、玉龙坎代里亚河、乌坦拉克代里亚河。年平均径流量1.371亿立方米，下泄生态基流0.2742亿立方米，可利用量1.0968亿立方米。</w:t>
      </w:r>
    </w:p>
    <w:p>
      <w:pPr>
        <w:spacing w:line="560" w:lineRule="exact"/>
        <w:ind w:firstLine="600" w:firstLineChars="200"/>
        <w:rPr>
          <w:rFonts w:hint="default" w:ascii="Times New Roman" w:hAnsi="Times New Roman" w:eastAsia="仿宋" w:cs="Times New Roman"/>
          <w:kern w:val="0"/>
          <w:sz w:val="30"/>
          <w:szCs w:val="30"/>
          <w:lang w:bidi="ar"/>
        </w:rPr>
      </w:pPr>
      <w:r>
        <w:rPr>
          <w:rFonts w:hint="default" w:ascii="Times New Roman" w:hAnsi="Times New Roman" w:eastAsia="仿宋" w:cs="Times New Roman"/>
          <w:kern w:val="0"/>
          <w:sz w:val="30"/>
          <w:szCs w:val="30"/>
          <w:lang w:bidi="ar"/>
        </w:rPr>
        <w:t>4）奴尔河：发源于策勒县境内的昆仑山北坡，以冰雪融水和降水补给为主，属常年性河流。河流全长119km，集水面积1275.5km</w:t>
      </w:r>
      <w:r>
        <w:rPr>
          <w:rFonts w:hint="default" w:ascii="Times New Roman" w:hAnsi="Times New Roman" w:eastAsia="仿宋" w:cs="Times New Roman"/>
          <w:kern w:val="0"/>
          <w:sz w:val="30"/>
          <w:szCs w:val="30"/>
          <w:vertAlign w:val="superscript"/>
          <w:lang w:bidi="ar"/>
        </w:rPr>
        <w:t>2</w:t>
      </w:r>
      <w:r>
        <w:rPr>
          <w:rFonts w:hint="default" w:ascii="Times New Roman" w:hAnsi="Times New Roman" w:eastAsia="仿宋" w:cs="Times New Roman"/>
          <w:kern w:val="0"/>
          <w:sz w:val="30"/>
          <w:szCs w:val="30"/>
          <w:lang w:bidi="ar"/>
        </w:rPr>
        <w:t>。奴尔河年平均径流量1.835亿立方米，下泄生态基流0.2935亿立方米，可利用量1.5415亿立方米。</w:t>
      </w:r>
    </w:p>
    <w:p>
      <w:pPr>
        <w:spacing w:line="560" w:lineRule="exact"/>
        <w:ind w:firstLine="600" w:firstLineChars="200"/>
        <w:rPr>
          <w:rFonts w:hint="default" w:ascii="Times New Roman" w:hAnsi="Times New Roman" w:eastAsia="仿宋" w:cs="Times New Roman"/>
          <w:kern w:val="0"/>
          <w:sz w:val="30"/>
          <w:szCs w:val="30"/>
          <w:lang w:bidi="ar"/>
        </w:rPr>
      </w:pPr>
      <w:r>
        <w:rPr>
          <w:rFonts w:hint="default" w:ascii="Times New Roman" w:hAnsi="Times New Roman" w:eastAsia="仿宋" w:cs="Times New Roman"/>
          <w:kern w:val="0"/>
          <w:sz w:val="30"/>
          <w:szCs w:val="30"/>
          <w:lang w:bidi="ar"/>
        </w:rPr>
        <w:t>5）萨尔龙河：发源于策勒县境内的昆仑山北坡，以冰雪融水和降水补给为主，属常年性河流。河流全长34.9km，集水面积130.7km</w:t>
      </w:r>
      <w:r>
        <w:rPr>
          <w:rFonts w:hint="default" w:ascii="Times New Roman" w:hAnsi="Times New Roman" w:eastAsia="仿宋" w:cs="Times New Roman"/>
          <w:kern w:val="0"/>
          <w:sz w:val="30"/>
          <w:szCs w:val="30"/>
          <w:vertAlign w:val="superscript"/>
          <w:lang w:bidi="ar"/>
        </w:rPr>
        <w:t>2</w:t>
      </w:r>
      <w:r>
        <w:rPr>
          <w:rFonts w:hint="default" w:ascii="Times New Roman" w:hAnsi="Times New Roman" w:eastAsia="仿宋" w:cs="Times New Roman"/>
          <w:kern w:val="0"/>
          <w:sz w:val="30"/>
          <w:szCs w:val="30"/>
          <w:lang w:bidi="ar"/>
        </w:rPr>
        <w:t>。年平均径流量0.0734亿立方米，下泄生态基流0.0734亿立方米。</w:t>
      </w:r>
    </w:p>
    <w:p>
      <w:pPr>
        <w:spacing w:line="560" w:lineRule="exact"/>
        <w:ind w:firstLine="600" w:firstLineChars="200"/>
        <w:rPr>
          <w:rFonts w:hint="default" w:ascii="Times New Roman" w:hAnsi="Times New Roman" w:eastAsia="仿宋" w:cs="Times New Roman"/>
          <w:kern w:val="0"/>
          <w:sz w:val="30"/>
          <w:szCs w:val="30"/>
          <w:lang w:bidi="ar"/>
        </w:rPr>
      </w:pPr>
      <w:r>
        <w:rPr>
          <w:rFonts w:hint="default" w:ascii="Times New Roman" w:hAnsi="Times New Roman" w:eastAsia="仿宋" w:cs="Times New Roman"/>
          <w:kern w:val="0"/>
          <w:sz w:val="30"/>
          <w:szCs w:val="30"/>
          <w:lang w:bidi="ar"/>
        </w:rPr>
        <w:t>6）萨依巴格河：位于奴尔河以东，发源于昆仑山北麓，地理坐标介于东经79°37′～79°44′、北纬36°26′～36°59′之间，河流源头最高海拔高程6513m。流域总面积256.2km</w:t>
      </w:r>
      <w:r>
        <w:rPr>
          <w:rFonts w:hint="default" w:ascii="Times New Roman" w:hAnsi="Times New Roman" w:eastAsia="仿宋" w:cs="Times New Roman"/>
          <w:kern w:val="0"/>
          <w:sz w:val="30"/>
          <w:szCs w:val="30"/>
          <w:vertAlign w:val="superscript"/>
          <w:lang w:bidi="ar"/>
        </w:rPr>
        <w:t>2</w:t>
      </w:r>
      <w:r>
        <w:rPr>
          <w:rFonts w:hint="default" w:ascii="Times New Roman" w:hAnsi="Times New Roman" w:eastAsia="仿宋" w:cs="Times New Roman"/>
          <w:kern w:val="0"/>
          <w:sz w:val="30"/>
          <w:szCs w:val="30"/>
          <w:lang w:bidi="ar"/>
        </w:rPr>
        <w:t>，河流总长度42.9km。年平均径流量0.3231亿立方米，下泄生态基流0.0614亿立方米，可利用量0.2617亿立方米。</w:t>
      </w:r>
    </w:p>
    <w:p>
      <w:pPr>
        <w:spacing w:line="560" w:lineRule="exact"/>
        <w:ind w:firstLine="600" w:firstLineChars="200"/>
        <w:rPr>
          <w:rFonts w:hint="default" w:ascii="Times New Roman" w:hAnsi="Times New Roman" w:eastAsia="仿宋" w:cs="Times New Roman"/>
          <w:kern w:val="0"/>
          <w:sz w:val="30"/>
          <w:szCs w:val="30"/>
          <w:lang w:bidi="ar"/>
        </w:rPr>
      </w:pPr>
      <w:r>
        <w:rPr>
          <w:rFonts w:hint="default" w:ascii="Times New Roman" w:hAnsi="Times New Roman" w:eastAsia="仿宋" w:cs="Times New Roman"/>
          <w:kern w:val="0"/>
          <w:sz w:val="30"/>
          <w:szCs w:val="30"/>
          <w:lang w:bidi="ar"/>
        </w:rPr>
        <w:t>7）布藏河：布藏河位于奴尔河以东，发源于昆仑山北麓，河流源头最高海拔高程6513m。总体上的地势是南高北低。河源自南向北流，下游汇入到阿克赛音河。流域总面积745.6km</w:t>
      </w:r>
      <w:r>
        <w:rPr>
          <w:rFonts w:hint="default" w:ascii="Times New Roman" w:hAnsi="Times New Roman" w:eastAsia="仿宋" w:cs="Times New Roman"/>
          <w:kern w:val="0"/>
          <w:sz w:val="30"/>
          <w:szCs w:val="30"/>
          <w:vertAlign w:val="superscript"/>
          <w:lang w:bidi="ar"/>
        </w:rPr>
        <w:t>2</w:t>
      </w:r>
      <w:r>
        <w:rPr>
          <w:rFonts w:hint="default" w:ascii="Times New Roman" w:hAnsi="Times New Roman" w:eastAsia="仿宋" w:cs="Times New Roman"/>
          <w:kern w:val="0"/>
          <w:sz w:val="30"/>
          <w:szCs w:val="30"/>
          <w:lang w:bidi="ar"/>
        </w:rPr>
        <w:t>，河流总长度54.9km。平均径流量0.094亿立方米，下泄生态基流0.094亿立方米。</w:t>
      </w:r>
    </w:p>
    <w:p>
      <w:pPr>
        <w:spacing w:line="560" w:lineRule="exact"/>
        <w:ind w:firstLine="600" w:firstLineChars="200"/>
        <w:rPr>
          <w:rFonts w:hint="default" w:ascii="Times New Roman" w:hAnsi="Times New Roman" w:eastAsia="仿宋" w:cs="Times New Roman"/>
          <w:kern w:val="0"/>
          <w:sz w:val="30"/>
          <w:szCs w:val="30"/>
          <w:lang w:bidi="ar"/>
        </w:rPr>
      </w:pPr>
      <w:r>
        <w:rPr>
          <w:rFonts w:hint="default" w:ascii="Times New Roman" w:hAnsi="Times New Roman" w:eastAsia="仿宋" w:cs="Times New Roman"/>
          <w:kern w:val="0"/>
          <w:sz w:val="30"/>
          <w:szCs w:val="30"/>
          <w:lang w:bidi="ar"/>
        </w:rPr>
        <w:t>8）阿克赛音河：阿克赛音河发源于策勒县境内的昆仑山北麓，在本区域最高山峰6544m，海拔5000m以上山区终年积雪，冰川广布，为该区域诸河流的主要发源地，总体上的地势是南高北低。阿克赛音河全长71.2km，集水面积564.2km</w:t>
      </w:r>
      <w:r>
        <w:rPr>
          <w:rFonts w:hint="default" w:ascii="Times New Roman" w:hAnsi="Times New Roman" w:eastAsia="仿宋" w:cs="Times New Roman"/>
          <w:kern w:val="0"/>
          <w:sz w:val="30"/>
          <w:szCs w:val="30"/>
          <w:vertAlign w:val="superscript"/>
          <w:lang w:bidi="ar"/>
        </w:rPr>
        <w:t>2</w:t>
      </w:r>
      <w:r>
        <w:rPr>
          <w:rFonts w:hint="default" w:ascii="Times New Roman" w:hAnsi="Times New Roman" w:eastAsia="仿宋" w:cs="Times New Roman"/>
          <w:kern w:val="0"/>
          <w:sz w:val="30"/>
          <w:szCs w:val="30"/>
          <w:lang w:bidi="ar"/>
        </w:rPr>
        <w:t>。年平均径流量0.3627亿立方米，下泄生态基流0.0565亿立方米，可利用量0.3062亿立方米。</w:t>
      </w:r>
    </w:p>
    <w:p>
      <w:pPr>
        <w:spacing w:line="560" w:lineRule="exact"/>
        <w:ind w:firstLine="600" w:firstLineChars="200"/>
        <w:rPr>
          <w:rFonts w:hint="default" w:ascii="Times New Roman" w:hAnsi="Times New Roman" w:eastAsia="仿宋" w:cs="Times New Roman"/>
          <w:kern w:val="0"/>
          <w:sz w:val="30"/>
          <w:szCs w:val="30"/>
          <w:lang w:bidi="ar"/>
        </w:rPr>
      </w:pPr>
      <w:r>
        <w:rPr>
          <w:rFonts w:hint="default" w:ascii="Times New Roman" w:hAnsi="Times New Roman" w:eastAsia="仿宋" w:cs="Times New Roman"/>
          <w:kern w:val="0"/>
          <w:sz w:val="30"/>
          <w:szCs w:val="30"/>
          <w:lang w:bidi="ar"/>
        </w:rPr>
        <w:t>9）卡尔苏河：该河位于克里雅河以西、奴尔河以东，发源于昆仑山北麓，以冰雪融水和降水补给为主。总体上的地势是南高北低。河源自南向北流，河流自南向北流经博斯坦乡后与阿克赛音河、奴尔河汇合。流域总面积784.2km</w:t>
      </w:r>
      <w:r>
        <w:rPr>
          <w:rFonts w:hint="default" w:ascii="Times New Roman" w:hAnsi="Times New Roman" w:eastAsia="仿宋" w:cs="Times New Roman"/>
          <w:kern w:val="0"/>
          <w:sz w:val="30"/>
          <w:szCs w:val="30"/>
          <w:vertAlign w:val="superscript"/>
          <w:lang w:bidi="ar"/>
        </w:rPr>
        <w:t>2</w:t>
      </w:r>
      <w:r>
        <w:rPr>
          <w:rFonts w:hint="default" w:ascii="Times New Roman" w:hAnsi="Times New Roman" w:eastAsia="仿宋" w:cs="Times New Roman"/>
          <w:kern w:val="0"/>
          <w:sz w:val="30"/>
          <w:szCs w:val="30"/>
          <w:lang w:bidi="ar"/>
        </w:rPr>
        <w:t>，河流总长度91.7km。年平均径流量0.132亿立方米，下泄生态基流0.0314亿立方米。</w:t>
      </w:r>
    </w:p>
    <w:p>
      <w:pPr>
        <w:spacing w:line="560" w:lineRule="exact"/>
        <w:ind w:firstLine="602" w:firstLineChars="200"/>
        <w:rPr>
          <w:rFonts w:ascii="Times New Roman" w:hAnsi="Times New Roman" w:eastAsia="仿宋" w:cs="Times New Roman"/>
          <w:b/>
          <w:sz w:val="30"/>
          <w:szCs w:val="30"/>
        </w:rPr>
      </w:pPr>
      <w:r>
        <w:rPr>
          <w:rFonts w:ascii="Times New Roman" w:hAnsi="Times New Roman" w:eastAsia="仿宋" w:cs="Times New Roman"/>
          <w:b/>
          <w:sz w:val="30"/>
          <w:szCs w:val="30"/>
        </w:rPr>
        <w:t>2、水资源开发利用现状</w:t>
      </w:r>
    </w:p>
    <w:p>
      <w:pPr>
        <w:spacing w:line="560" w:lineRule="exact"/>
        <w:ind w:firstLine="600" w:firstLineChars="200"/>
        <w:rPr>
          <w:rFonts w:ascii="Times New Roman" w:hAnsi="Times New Roman" w:eastAsia="仿宋" w:cs="Times New Roman"/>
          <w:b/>
          <w:sz w:val="30"/>
          <w:szCs w:val="30"/>
        </w:rPr>
      </w:pPr>
      <w:r>
        <w:rPr>
          <w:rFonts w:hint="eastAsia" w:ascii="Times New Roman" w:hAnsi="Times New Roman" w:eastAsia="仿宋" w:cs="Times New Roman"/>
          <w:sz w:val="30"/>
          <w:szCs w:val="30"/>
        </w:rPr>
        <w:t>根据2</w:t>
      </w:r>
      <w:r>
        <w:rPr>
          <w:rFonts w:ascii="Times New Roman" w:hAnsi="Times New Roman" w:eastAsia="仿宋" w:cs="Times New Roman"/>
          <w:sz w:val="30"/>
          <w:szCs w:val="30"/>
        </w:rPr>
        <w:t>023</w:t>
      </w:r>
      <w:r>
        <w:rPr>
          <w:rFonts w:hint="eastAsia" w:ascii="Times New Roman" w:hAnsi="Times New Roman" w:eastAsia="仿宋" w:cs="Times New Roman"/>
          <w:sz w:val="30"/>
          <w:szCs w:val="30"/>
        </w:rPr>
        <w:t>年1</w:t>
      </w:r>
      <w:r>
        <w:rPr>
          <w:rFonts w:ascii="Times New Roman" w:hAnsi="Times New Roman" w:eastAsia="仿宋" w:cs="Times New Roman"/>
          <w:sz w:val="30"/>
          <w:szCs w:val="30"/>
        </w:rPr>
        <w:t>-7</w:t>
      </w:r>
      <w:r>
        <w:rPr>
          <w:rFonts w:hint="eastAsia" w:ascii="Times New Roman" w:hAnsi="Times New Roman" w:eastAsia="仿宋" w:cs="Times New Roman"/>
          <w:sz w:val="30"/>
          <w:szCs w:val="30"/>
        </w:rPr>
        <w:t>月策勒县各河流生态下泄流量统计情况，1</w:t>
      </w:r>
      <w:r>
        <w:rPr>
          <w:rFonts w:ascii="Times New Roman" w:hAnsi="Times New Roman" w:eastAsia="仿宋" w:cs="Times New Roman"/>
          <w:sz w:val="30"/>
          <w:szCs w:val="30"/>
        </w:rPr>
        <w:t>-7</w:t>
      </w:r>
      <w:r>
        <w:rPr>
          <w:rFonts w:hint="eastAsia" w:ascii="Times New Roman" w:hAnsi="Times New Roman" w:eastAsia="仿宋" w:cs="Times New Roman"/>
          <w:sz w:val="30"/>
          <w:szCs w:val="30"/>
        </w:rPr>
        <w:t>月河道总来水量1</w:t>
      </w:r>
      <w:r>
        <w:rPr>
          <w:rFonts w:ascii="Times New Roman" w:hAnsi="Times New Roman" w:eastAsia="仿宋" w:cs="Times New Roman"/>
          <w:sz w:val="30"/>
          <w:szCs w:val="30"/>
        </w:rPr>
        <w:t>.54</w:t>
      </w:r>
      <w:r>
        <w:rPr>
          <w:rFonts w:hint="eastAsia" w:ascii="Times New Roman" w:hAnsi="Times New Roman" w:eastAsia="仿宋" w:cs="Times New Roman"/>
          <w:sz w:val="30"/>
          <w:szCs w:val="30"/>
        </w:rPr>
        <w:t>亿立方米。其中生态下泄流量</w:t>
      </w:r>
      <w:r>
        <w:rPr>
          <w:rFonts w:ascii="Times New Roman" w:hAnsi="Times New Roman" w:eastAsia="仿宋" w:cs="Times New Roman"/>
          <w:sz w:val="30"/>
          <w:szCs w:val="30"/>
        </w:rPr>
        <w:t>0.17</w:t>
      </w:r>
      <w:r>
        <w:rPr>
          <w:rFonts w:hint="eastAsia" w:ascii="Times New Roman" w:hAnsi="Times New Roman" w:eastAsia="仿宋" w:cs="Times New Roman"/>
          <w:sz w:val="30"/>
          <w:szCs w:val="30"/>
        </w:rPr>
        <w:t>亿立方米，占总来水量的比例约为1</w:t>
      </w:r>
      <w:r>
        <w:rPr>
          <w:rFonts w:ascii="Times New Roman" w:hAnsi="Times New Roman" w:eastAsia="仿宋" w:cs="Times New Roman"/>
          <w:sz w:val="30"/>
          <w:szCs w:val="30"/>
        </w:rPr>
        <w:t>0.91%</w:t>
      </w:r>
      <w:r>
        <w:rPr>
          <w:rFonts w:hint="eastAsia" w:ascii="Times New Roman" w:hAnsi="Times New Roman" w:eastAsia="仿宋" w:cs="Times New Roman"/>
          <w:sz w:val="30"/>
          <w:szCs w:val="30"/>
        </w:rPr>
        <w:t>；灌溉用水量1</w:t>
      </w:r>
      <w:r>
        <w:rPr>
          <w:rFonts w:ascii="Times New Roman" w:hAnsi="Times New Roman" w:eastAsia="仿宋" w:cs="Times New Roman"/>
          <w:sz w:val="30"/>
          <w:szCs w:val="30"/>
        </w:rPr>
        <w:t>.45</w:t>
      </w:r>
      <w:r>
        <w:rPr>
          <w:rFonts w:hint="eastAsia" w:ascii="Times New Roman" w:hAnsi="Times New Roman" w:eastAsia="仿宋" w:cs="Times New Roman"/>
          <w:sz w:val="30"/>
          <w:szCs w:val="30"/>
        </w:rPr>
        <w:t>亿立方米，占总来水量的比例约为</w:t>
      </w:r>
      <w:r>
        <w:rPr>
          <w:rFonts w:ascii="Times New Roman" w:hAnsi="Times New Roman" w:eastAsia="仿宋" w:cs="Times New Roman"/>
          <w:sz w:val="30"/>
          <w:szCs w:val="30"/>
        </w:rPr>
        <w:t>93.67%</w:t>
      </w:r>
      <w:r>
        <w:rPr>
          <w:rFonts w:hint="eastAsia" w:ascii="Times New Roman" w:hAnsi="Times New Roman" w:eastAsia="仿宋" w:cs="Times New Roman"/>
          <w:sz w:val="30"/>
          <w:szCs w:val="30"/>
        </w:rPr>
        <w:t>；饮水量</w:t>
      </w:r>
      <w:r>
        <w:rPr>
          <w:rFonts w:ascii="Times New Roman" w:hAnsi="Times New Roman" w:eastAsia="仿宋" w:cs="Times New Roman"/>
          <w:sz w:val="30"/>
          <w:szCs w:val="30"/>
        </w:rPr>
        <w:t>0.04</w:t>
      </w:r>
      <w:r>
        <w:rPr>
          <w:rFonts w:hint="eastAsia" w:ascii="Times New Roman" w:hAnsi="Times New Roman" w:eastAsia="仿宋" w:cs="Times New Roman"/>
          <w:sz w:val="30"/>
          <w:szCs w:val="30"/>
        </w:rPr>
        <w:t>亿立方米，占总来水量的比例约为</w:t>
      </w:r>
      <w:r>
        <w:rPr>
          <w:rFonts w:ascii="Times New Roman" w:hAnsi="Times New Roman" w:eastAsia="仿宋" w:cs="Times New Roman"/>
          <w:sz w:val="30"/>
          <w:szCs w:val="30"/>
        </w:rPr>
        <w:t>2.5</w:t>
      </w:r>
      <w:r>
        <w:rPr>
          <w:rFonts w:hint="eastAsia" w:ascii="Times New Roman" w:hAnsi="Times New Roman" w:eastAsia="仿宋" w:cs="Times New Roman"/>
          <w:sz w:val="30"/>
          <w:szCs w:val="30"/>
        </w:rPr>
        <w:t>4</w:t>
      </w:r>
      <w:r>
        <w:rPr>
          <w:rFonts w:ascii="Times New Roman" w:hAnsi="Times New Roman" w:eastAsia="仿宋" w:cs="Times New Roman"/>
          <w:sz w:val="30"/>
          <w:szCs w:val="30"/>
        </w:rPr>
        <w:t>%</w:t>
      </w:r>
      <w:r>
        <w:rPr>
          <w:rFonts w:hint="eastAsia" w:ascii="Times New Roman" w:hAnsi="Times New Roman" w:eastAsia="仿宋" w:cs="Times New Roman"/>
          <w:sz w:val="30"/>
          <w:szCs w:val="30"/>
        </w:rPr>
        <w:t>。</w:t>
      </w:r>
    </w:p>
    <w:p>
      <w:pPr>
        <w:adjustRightInd w:val="0"/>
        <w:snapToGrid w:val="0"/>
        <w:spacing w:line="560" w:lineRule="exact"/>
        <w:ind w:firstLine="643" w:firstLineChars="200"/>
        <w:outlineLvl w:val="1"/>
        <w:rPr>
          <w:rFonts w:ascii="Times New Roman" w:hAnsi="Times New Roman" w:eastAsia="仿宋" w:cs="Times New Roman"/>
          <w:b/>
          <w:sz w:val="32"/>
          <w:szCs w:val="32"/>
        </w:rPr>
      </w:pPr>
      <w:bookmarkStart w:id="21" w:name="_Toc153706322"/>
      <w:r>
        <w:rPr>
          <w:rFonts w:hint="eastAsia" w:ascii="Times New Roman" w:hAnsi="Times New Roman" w:eastAsia="仿宋" w:cs="Times New Roman"/>
          <w:b/>
          <w:sz w:val="32"/>
          <w:szCs w:val="32"/>
        </w:rPr>
        <w:t>（</w:t>
      </w:r>
      <w:r>
        <w:rPr>
          <w:rFonts w:ascii="Times New Roman" w:hAnsi="Times New Roman" w:eastAsia="仿宋" w:cs="Times New Roman"/>
          <w:b/>
          <w:sz w:val="32"/>
          <w:szCs w:val="32"/>
        </w:rPr>
        <w:t>四）水环境质量状况</w:t>
      </w:r>
      <w:bookmarkEnd w:id="21"/>
    </w:p>
    <w:p>
      <w:pPr>
        <w:spacing w:line="560" w:lineRule="exact"/>
        <w:ind w:firstLine="600" w:firstLineChars="200"/>
        <w:rPr>
          <w:rFonts w:ascii="Times New Roman" w:hAnsi="Times New Roman" w:eastAsia="仿宋" w:cs="Times New Roman"/>
          <w:sz w:val="30"/>
          <w:szCs w:val="30"/>
        </w:rPr>
      </w:pPr>
      <w:r>
        <w:rPr>
          <w:rFonts w:hint="eastAsia" w:ascii="Times New Roman" w:hAnsi="Times New Roman" w:eastAsia="仿宋" w:cs="Times New Roman"/>
          <w:sz w:val="30"/>
          <w:szCs w:val="30"/>
        </w:rPr>
        <w:t>策勒县有2个河流监测断面，1座湖库监测断面，均不是国控与省控监测考核断面。主要监测河流2个监测断面水质优良（达到或优于Ⅲ类）比例保持在100%；1座重点监测湖库水质优良（达到或优于Ⅲ类）比例保持在100%。</w:t>
      </w:r>
    </w:p>
    <w:p>
      <w:pPr>
        <w:spacing w:line="560" w:lineRule="exact"/>
        <w:ind w:firstLine="600" w:firstLineChars="200"/>
        <w:rPr>
          <w:rFonts w:ascii="Times New Roman" w:hAnsi="Times New Roman" w:eastAsia="仿宋_GB2312"/>
          <w:sz w:val="28"/>
          <w:szCs w:val="28"/>
        </w:rPr>
      </w:pPr>
      <w:r>
        <w:rPr>
          <w:rFonts w:hint="eastAsia" w:ascii="Times New Roman" w:hAnsi="Times New Roman" w:eastAsia="仿宋" w:cs="Times New Roman"/>
          <w:sz w:val="30"/>
          <w:szCs w:val="30"/>
        </w:rPr>
        <w:t>策勒县集中式饮用水水源地分为地下水水源地和河流水源地，共有1个地表水水源地，1个地下水水源地，分别为</w:t>
      </w:r>
      <w:r>
        <w:rPr>
          <w:rFonts w:ascii="Times New Roman" w:hAnsi="Times New Roman" w:eastAsia="仿宋_GB2312"/>
          <w:sz w:val="28"/>
          <w:szCs w:val="28"/>
        </w:rPr>
        <w:t>策勒县乡镇供水总水厂水源地</w:t>
      </w:r>
      <w:r>
        <w:rPr>
          <w:rFonts w:hint="eastAsia" w:ascii="Times New Roman" w:hAnsi="Times New Roman" w:eastAsia="仿宋_GB2312"/>
          <w:sz w:val="28"/>
          <w:szCs w:val="28"/>
        </w:rPr>
        <w:t>、</w:t>
      </w:r>
      <w:r>
        <w:rPr>
          <w:rFonts w:ascii="Times New Roman" w:hAnsi="Times New Roman" w:eastAsia="仿宋_GB2312"/>
          <w:sz w:val="28"/>
          <w:szCs w:val="28"/>
        </w:rPr>
        <w:t>策勒县水厂水源地</w:t>
      </w:r>
      <w:r>
        <w:rPr>
          <w:rFonts w:hint="eastAsia" w:ascii="Times New Roman" w:hAnsi="Times New Roman" w:eastAsia="仿宋_GB2312"/>
          <w:sz w:val="28"/>
          <w:szCs w:val="28"/>
        </w:rPr>
        <w:t>。2</w:t>
      </w:r>
      <w:r>
        <w:rPr>
          <w:rFonts w:ascii="Times New Roman" w:hAnsi="Times New Roman" w:eastAsia="仿宋_GB2312"/>
          <w:sz w:val="28"/>
          <w:szCs w:val="28"/>
        </w:rPr>
        <w:t>023</w:t>
      </w:r>
      <w:r>
        <w:rPr>
          <w:rFonts w:hint="eastAsia" w:ascii="Times New Roman" w:hAnsi="Times New Roman" w:eastAsia="仿宋_GB2312"/>
          <w:sz w:val="28"/>
          <w:szCs w:val="28"/>
        </w:rPr>
        <w:t>年，策勒县集中式饮用水水源地水质满足《生活饮用水水源水质标准》要求，饮用水源水质达标率达到100%以上。</w:t>
      </w:r>
    </w:p>
    <w:p>
      <w:pPr>
        <w:adjustRightInd w:val="0"/>
        <w:snapToGrid w:val="0"/>
        <w:spacing w:line="560" w:lineRule="exact"/>
        <w:ind w:firstLine="643" w:firstLineChars="200"/>
        <w:outlineLvl w:val="1"/>
        <w:rPr>
          <w:rFonts w:ascii="Times New Roman" w:hAnsi="Times New Roman" w:eastAsia="仿宋" w:cs="Times New Roman"/>
          <w:b/>
          <w:sz w:val="32"/>
          <w:szCs w:val="32"/>
        </w:rPr>
      </w:pPr>
      <w:bookmarkStart w:id="22" w:name="_Toc68713480"/>
      <w:bookmarkStart w:id="23" w:name="_Toc153706323"/>
      <w:r>
        <w:rPr>
          <w:rFonts w:ascii="Times New Roman" w:hAnsi="Times New Roman" w:eastAsia="仿宋" w:cs="Times New Roman"/>
          <w:b/>
          <w:sz w:val="32"/>
          <w:szCs w:val="32"/>
        </w:rPr>
        <w:t>（五）主要水环境问题</w:t>
      </w:r>
      <w:bookmarkEnd w:id="22"/>
      <w:bookmarkEnd w:id="23"/>
    </w:p>
    <w:p>
      <w:pPr>
        <w:spacing w:line="560" w:lineRule="exact"/>
        <w:ind w:firstLine="602" w:firstLineChars="200"/>
        <w:rPr>
          <w:rFonts w:ascii="Times New Roman" w:hAnsi="Times New Roman" w:eastAsia="仿宋" w:cs="Times New Roman"/>
          <w:sz w:val="30"/>
          <w:szCs w:val="30"/>
        </w:rPr>
      </w:pPr>
      <w:r>
        <w:rPr>
          <w:rFonts w:hint="eastAsia" w:ascii="Times New Roman" w:hAnsi="Times New Roman" w:eastAsia="仿宋" w:cs="Times New Roman"/>
          <w:b/>
          <w:sz w:val="30"/>
          <w:szCs w:val="30"/>
        </w:rPr>
        <w:t>（1）水资源分布不均，水资源量匮乏</w:t>
      </w:r>
      <w:r>
        <w:rPr>
          <w:rFonts w:ascii="Times New Roman" w:hAnsi="Times New Roman" w:eastAsia="仿宋" w:cs="Times New Roman"/>
          <w:b/>
          <w:sz w:val="30"/>
          <w:szCs w:val="30"/>
        </w:rPr>
        <w:t>。</w:t>
      </w:r>
    </w:p>
    <w:p>
      <w:pPr>
        <w:spacing w:line="560" w:lineRule="exact"/>
        <w:ind w:firstLine="600" w:firstLineChars="200"/>
        <w:rPr>
          <w:rFonts w:ascii="Times New Roman" w:hAnsi="Times New Roman" w:eastAsia="仿宋" w:cs="Times New Roman"/>
          <w:sz w:val="30"/>
          <w:szCs w:val="30"/>
        </w:rPr>
      </w:pPr>
      <w:r>
        <w:rPr>
          <w:rFonts w:hint="eastAsia" w:ascii="Times New Roman" w:hAnsi="Times New Roman" w:eastAsia="仿宋" w:cs="Times New Roman"/>
          <w:sz w:val="30"/>
          <w:szCs w:val="30"/>
        </w:rPr>
        <w:t>首先，水资源空间分布不均，如策勒气象站年平均降水量仅38.4mm，而蒸发能力达1528.8mm，无法形成地表径流，因此其产水量为零，但</w:t>
      </w:r>
      <w:r>
        <w:rPr>
          <w:rFonts w:ascii="Times New Roman" w:hAnsi="Times New Roman" w:eastAsia="仿宋" w:cs="Times New Roman"/>
          <w:sz w:val="30"/>
          <w:szCs w:val="30"/>
        </w:rPr>
        <w:t>策勒河是以灌溉农业为基础的地区</w:t>
      </w:r>
      <w:r>
        <w:rPr>
          <w:rFonts w:hint="eastAsia" w:ascii="Times New Roman" w:hAnsi="Times New Roman" w:eastAsia="仿宋" w:cs="Times New Roman"/>
          <w:sz w:val="30"/>
          <w:szCs w:val="30"/>
        </w:rPr>
        <w:t>，是</w:t>
      </w:r>
      <w:r>
        <w:rPr>
          <w:rFonts w:ascii="Times New Roman" w:hAnsi="Times New Roman" w:eastAsia="仿宋" w:cs="Times New Roman"/>
          <w:sz w:val="30"/>
          <w:szCs w:val="30"/>
        </w:rPr>
        <w:t>策勒县的主要农业区之一</w:t>
      </w:r>
      <w:r>
        <w:rPr>
          <w:rFonts w:hint="eastAsia" w:ascii="Times New Roman" w:hAnsi="Times New Roman" w:eastAsia="仿宋" w:cs="Times New Roman"/>
          <w:sz w:val="30"/>
          <w:szCs w:val="30"/>
        </w:rPr>
        <w:t>，在策勒县具有主导作用。其次，水资源季节分配不均，主要表现为夏季水量丰富，其他季节水量匮乏，以策勒站为例，夏季水量占全年水量的7</w:t>
      </w:r>
      <w:r>
        <w:rPr>
          <w:rFonts w:ascii="Times New Roman" w:hAnsi="Times New Roman" w:eastAsia="仿宋" w:cs="Times New Roman"/>
          <w:sz w:val="30"/>
          <w:szCs w:val="30"/>
        </w:rPr>
        <w:t>1.9%</w:t>
      </w:r>
      <w:r>
        <w:rPr>
          <w:rFonts w:hint="eastAsia" w:ascii="Times New Roman" w:hAnsi="Times New Roman" w:eastAsia="仿宋" w:cs="Times New Roman"/>
          <w:sz w:val="30"/>
          <w:szCs w:val="30"/>
        </w:rPr>
        <w:t>。春季缺水导致春旱较为严重，对春季农业用水十分不利，严重制约了农牧业的发展。</w:t>
      </w:r>
    </w:p>
    <w:p>
      <w:pPr>
        <w:spacing w:line="560" w:lineRule="exact"/>
        <w:ind w:firstLine="600" w:firstLineChars="200"/>
        <w:rPr>
          <w:rFonts w:ascii="Times New Roman" w:hAnsi="Times New Roman" w:eastAsia="仿宋" w:cs="Times New Roman"/>
          <w:sz w:val="30"/>
          <w:szCs w:val="30"/>
        </w:rPr>
      </w:pPr>
      <w:r>
        <w:rPr>
          <w:rFonts w:hint="eastAsia" w:ascii="Times New Roman" w:hAnsi="Times New Roman" w:eastAsia="仿宋" w:cs="Times New Roman"/>
          <w:sz w:val="30"/>
          <w:szCs w:val="30"/>
        </w:rPr>
        <w:t>如策勒河干旱指数达39.8，属于极端干旱区，经济社会发展及生态环境维护构成策勒县水资源的两大竞争性用水户，水资源需求强烈，供需矛盾十分尖锐。由于策勒县平原区极度干旱，水面蒸发能力远大于山区，而且平原区地层松散，渗漏严重，这是策勒县地表水资源利用效率低下的原因之一。</w:t>
      </w:r>
    </w:p>
    <w:p>
      <w:pPr>
        <w:spacing w:line="560" w:lineRule="exact"/>
        <w:ind w:firstLine="602" w:firstLineChars="200"/>
        <w:rPr>
          <w:rFonts w:ascii="Times New Roman" w:hAnsi="Times New Roman" w:eastAsia="仿宋" w:cs="Times New Roman"/>
          <w:b/>
          <w:sz w:val="30"/>
          <w:szCs w:val="30"/>
        </w:rPr>
      </w:pPr>
      <w:r>
        <w:rPr>
          <w:rFonts w:hint="eastAsia" w:ascii="Times New Roman" w:hAnsi="Times New Roman" w:eastAsia="仿宋" w:cs="Times New Roman"/>
          <w:b/>
          <w:sz w:val="30"/>
          <w:szCs w:val="30"/>
        </w:rPr>
        <w:t>（2）流域侵蚀能力强，泥沙问题突出</w:t>
      </w:r>
    </w:p>
    <w:p>
      <w:pPr>
        <w:spacing w:line="560" w:lineRule="exact"/>
        <w:ind w:firstLine="600" w:firstLineChars="200"/>
        <w:rPr>
          <w:rFonts w:ascii="Times New Roman" w:hAnsi="Times New Roman" w:eastAsia="仿宋" w:cs="Times New Roman"/>
          <w:sz w:val="30"/>
          <w:szCs w:val="30"/>
        </w:rPr>
      </w:pPr>
      <w:r>
        <w:rPr>
          <w:rFonts w:hint="eastAsia" w:ascii="Times New Roman" w:hAnsi="Times New Roman" w:eastAsia="仿宋" w:cs="Times New Roman"/>
          <w:sz w:val="30"/>
          <w:szCs w:val="30"/>
        </w:rPr>
        <w:t>由于策勒县河流多发源于昆仑山，流域植被条件差，产沙能力强。各河流来水量主要集中在夏季，河流含沙量年内分配与径流同时集中在这一时期，含沙量分布与径流相一致，主要集中在汛期，但含沙量的集中程度比径流量集中程度高得多。河流携砂量较大，下游河道纵坡较缓，导致泥沙大量淤积在河床下游，下游河床抬高，河道淤积，严重影响了周边耕地及居民的生产生活安全。河流泥沙对各类水利工程，尤其是水库工程的正常运行构成了极大的威胁。</w:t>
      </w:r>
    </w:p>
    <w:p>
      <w:pPr>
        <w:spacing w:line="560" w:lineRule="exact"/>
        <w:ind w:firstLine="602" w:firstLineChars="200"/>
        <w:rPr>
          <w:rFonts w:ascii="Times New Roman" w:hAnsi="Times New Roman" w:eastAsia="仿宋" w:cs="Times New Roman"/>
          <w:b/>
          <w:sz w:val="30"/>
          <w:szCs w:val="30"/>
        </w:rPr>
      </w:pPr>
      <w:r>
        <w:rPr>
          <w:rFonts w:hint="eastAsia" w:ascii="Times New Roman" w:hAnsi="Times New Roman" w:eastAsia="仿宋" w:cs="Times New Roman"/>
          <w:b/>
          <w:sz w:val="30"/>
          <w:szCs w:val="30"/>
        </w:rPr>
        <w:t>（3）节水设施建设滞后，用水效率低</w:t>
      </w:r>
    </w:p>
    <w:p>
      <w:pPr>
        <w:spacing w:line="560" w:lineRule="exact"/>
        <w:ind w:firstLine="600" w:firstLineChars="200"/>
        <w:rPr>
          <w:rFonts w:ascii="Times New Roman" w:hAnsi="Times New Roman" w:eastAsia="仿宋" w:cs="Times New Roman"/>
          <w:sz w:val="30"/>
          <w:szCs w:val="30"/>
        </w:rPr>
      </w:pPr>
      <w:r>
        <w:rPr>
          <w:rFonts w:hint="eastAsia" w:ascii="Times New Roman" w:hAnsi="Times New Roman" w:eastAsia="仿宋" w:cs="Times New Roman"/>
          <w:sz w:val="30"/>
          <w:szCs w:val="30"/>
        </w:rPr>
        <w:t>策勒县是一个以农业生产为支撑的农业县，沿河基本没有工业废水排入，农业用水、生活用水节水制度不完善，浪费现象较为严重，节水设施建设滞后、用水效率低。有些河流为季节性河流，水量不稳定。</w:t>
      </w:r>
    </w:p>
    <w:p>
      <w:pPr>
        <w:spacing w:line="560" w:lineRule="exact"/>
        <w:ind w:firstLine="602" w:firstLineChars="200"/>
        <w:rPr>
          <w:rFonts w:ascii="Times New Roman" w:hAnsi="Times New Roman" w:eastAsia="仿宋" w:cs="Times New Roman"/>
          <w:b/>
          <w:sz w:val="30"/>
          <w:szCs w:val="30"/>
        </w:rPr>
      </w:pPr>
      <w:r>
        <w:rPr>
          <w:rFonts w:hint="eastAsia" w:ascii="Times New Roman" w:hAnsi="Times New Roman" w:eastAsia="仿宋" w:cs="Times New Roman"/>
          <w:b/>
          <w:sz w:val="30"/>
          <w:szCs w:val="30"/>
        </w:rPr>
        <w:t>（4）饮用水水源地保护措施仍需进一步加强</w:t>
      </w:r>
    </w:p>
    <w:p>
      <w:pPr>
        <w:spacing w:line="560" w:lineRule="exact"/>
        <w:ind w:firstLine="600" w:firstLineChars="200"/>
        <w:rPr>
          <w:rFonts w:ascii="Times New Roman" w:hAnsi="Times New Roman" w:eastAsia="仿宋" w:cs="Times New Roman"/>
          <w:sz w:val="30"/>
          <w:szCs w:val="30"/>
        </w:rPr>
      </w:pPr>
      <w:r>
        <w:rPr>
          <w:rFonts w:hint="eastAsia" w:ascii="Times New Roman" w:hAnsi="Times New Roman" w:eastAsia="仿宋" w:cs="Times New Roman"/>
          <w:sz w:val="30"/>
          <w:szCs w:val="30"/>
        </w:rPr>
        <w:t>目前水源地正在调整优化的过程中，有新划定的策勒县奴尔水库饮用水水源保护区和策勒县应急备用饮用水水源保护区，也有拟取消的乌鲁克萨依乡河流型水源地、博斯坦乡水厂河流型水源地和恰哈乡二水厂河流型水源地等水源地，水源地的规范化建设仍需进一步提高。</w:t>
      </w:r>
    </w:p>
    <w:p>
      <w:pPr>
        <w:adjustRightInd w:val="0"/>
        <w:snapToGrid w:val="0"/>
        <w:spacing w:line="560" w:lineRule="exact"/>
        <w:outlineLvl w:val="0"/>
        <w:rPr>
          <w:rFonts w:ascii="Times New Roman" w:hAnsi="Times New Roman" w:eastAsia="仿宋" w:cs="Times New Roman"/>
          <w:b/>
          <w:sz w:val="28"/>
          <w:szCs w:val="28"/>
        </w:rPr>
      </w:pPr>
      <w:bookmarkStart w:id="24" w:name="_Toc68713481"/>
      <w:bookmarkStart w:id="25" w:name="_Toc153706324"/>
      <w:r>
        <w:rPr>
          <w:rFonts w:ascii="Times New Roman" w:hAnsi="Times New Roman" w:eastAsia="仿宋" w:cs="Times New Roman"/>
          <w:b/>
          <w:sz w:val="32"/>
          <w:szCs w:val="32"/>
        </w:rPr>
        <w:t>三、水功能区划</w:t>
      </w:r>
      <w:bookmarkEnd w:id="24"/>
      <w:r>
        <w:rPr>
          <w:rFonts w:hint="eastAsia" w:ascii="Times New Roman" w:hAnsi="Times New Roman" w:eastAsia="仿宋" w:cs="Times New Roman"/>
          <w:b/>
          <w:sz w:val="32"/>
          <w:szCs w:val="32"/>
        </w:rPr>
        <w:t>体系</w:t>
      </w:r>
      <w:bookmarkEnd w:id="25"/>
    </w:p>
    <w:p>
      <w:pPr>
        <w:adjustRightInd w:val="0"/>
        <w:snapToGrid w:val="0"/>
        <w:spacing w:line="560" w:lineRule="exact"/>
        <w:ind w:firstLine="643" w:firstLineChars="200"/>
        <w:outlineLvl w:val="1"/>
        <w:rPr>
          <w:rFonts w:ascii="Times New Roman" w:hAnsi="Times New Roman" w:eastAsia="仿宋" w:cs="Times New Roman"/>
          <w:b/>
          <w:sz w:val="32"/>
          <w:szCs w:val="32"/>
        </w:rPr>
      </w:pPr>
      <w:bookmarkStart w:id="26" w:name="_Toc68713482"/>
      <w:bookmarkStart w:id="27" w:name="_Toc153706325"/>
      <w:r>
        <w:rPr>
          <w:rFonts w:ascii="Times New Roman" w:hAnsi="Times New Roman" w:eastAsia="仿宋" w:cs="Times New Roman"/>
          <w:b/>
          <w:sz w:val="32"/>
          <w:szCs w:val="32"/>
        </w:rPr>
        <w:t>（一）</w:t>
      </w:r>
      <w:bookmarkEnd w:id="26"/>
      <w:r>
        <w:rPr>
          <w:rFonts w:hint="eastAsia" w:ascii="Times New Roman" w:hAnsi="Times New Roman" w:eastAsia="仿宋" w:cs="Times New Roman"/>
          <w:b/>
          <w:sz w:val="32"/>
          <w:szCs w:val="32"/>
        </w:rPr>
        <w:t>水功能区划分体系</w:t>
      </w:r>
      <w:bookmarkEnd w:id="27"/>
    </w:p>
    <w:p>
      <w:pPr>
        <w:spacing w:line="560" w:lineRule="exact"/>
        <w:ind w:firstLine="600" w:firstLineChars="200"/>
        <w:rPr>
          <w:rFonts w:hint="default" w:ascii="Times New Roman" w:hAnsi="Times New Roman" w:eastAsia="仿宋" w:cs="Times New Roman"/>
          <w:kern w:val="0"/>
          <w:sz w:val="30"/>
          <w:szCs w:val="30"/>
        </w:rPr>
      </w:pPr>
      <w:r>
        <w:rPr>
          <w:rFonts w:hint="default" w:ascii="Times New Roman" w:hAnsi="Times New Roman" w:eastAsia="仿宋" w:cs="Times New Roman"/>
          <w:kern w:val="0"/>
          <w:sz w:val="30"/>
          <w:szCs w:val="30"/>
        </w:rPr>
        <w:t>根据《水功能区划分标准》（GB/T 50594），水功能区划为两级体系（见图3-1），即一级区划和二级区划。</w:t>
      </w:r>
    </w:p>
    <w:p>
      <w:pPr>
        <w:spacing w:line="560" w:lineRule="exact"/>
        <w:ind w:firstLine="600" w:firstLineChars="200"/>
        <w:rPr>
          <w:rFonts w:hint="default" w:ascii="Times New Roman" w:hAnsi="Times New Roman" w:eastAsia="仿宋" w:cs="Times New Roman"/>
          <w:kern w:val="0"/>
          <w:sz w:val="30"/>
          <w:szCs w:val="30"/>
          <w:lang w:eastAsia="zh-CN"/>
        </w:rPr>
      </w:pPr>
      <w:r>
        <w:rPr>
          <w:rFonts w:hint="default" w:ascii="Times New Roman" w:hAnsi="Times New Roman" w:eastAsia="仿宋" w:cs="Times New Roman"/>
          <w:kern w:val="0"/>
          <w:sz w:val="30"/>
          <w:szCs w:val="30"/>
        </w:rPr>
        <w:t>一级水功能区分四类，即保护区、保留区、开发利用区、缓冲区</w:t>
      </w:r>
      <w:r>
        <w:rPr>
          <w:rFonts w:hint="default" w:ascii="Times New Roman" w:hAnsi="Times New Roman" w:eastAsia="仿宋" w:cs="Times New Roman"/>
          <w:kern w:val="0"/>
          <w:sz w:val="30"/>
          <w:szCs w:val="30"/>
          <w:lang w:eastAsia="zh-CN"/>
        </w:rPr>
        <w:t>。</w:t>
      </w:r>
      <w:r>
        <w:rPr>
          <w:rFonts w:hint="default" w:ascii="Times New Roman" w:hAnsi="Times New Roman" w:eastAsia="仿宋" w:cs="Times New Roman"/>
          <w:kern w:val="0"/>
          <w:sz w:val="30"/>
          <w:szCs w:val="30"/>
        </w:rPr>
        <w:t>二级水功能区将一级水功能区中的开发利用区具体划分为饮用水源区、工业用水区、农业用水区、渔业用水区、景观娱乐用水区、过渡区、排污控制区七类</w:t>
      </w:r>
      <w:r>
        <w:rPr>
          <w:rFonts w:hint="default" w:ascii="Times New Roman" w:hAnsi="Times New Roman" w:eastAsia="仿宋" w:cs="Times New Roman"/>
          <w:kern w:val="0"/>
          <w:sz w:val="30"/>
          <w:szCs w:val="30"/>
          <w:lang w:eastAsia="zh-CN"/>
        </w:rPr>
        <w:t>。</w:t>
      </w:r>
    </w:p>
    <w:p>
      <w:pPr>
        <w:spacing w:line="560" w:lineRule="exact"/>
        <w:ind w:firstLine="600" w:firstLineChars="200"/>
        <w:rPr>
          <w:rFonts w:hint="default" w:ascii="Times New Roman" w:hAnsi="Times New Roman" w:eastAsia="仿宋" w:cs="Times New Roman"/>
          <w:kern w:val="0"/>
          <w:sz w:val="30"/>
          <w:szCs w:val="30"/>
        </w:rPr>
      </w:pPr>
      <w:r>
        <w:rPr>
          <w:rFonts w:hint="default" w:ascii="Times New Roman" w:hAnsi="Times New Roman" w:eastAsia="仿宋" w:cs="Times New Roman"/>
          <w:kern w:val="0"/>
          <w:sz w:val="30"/>
          <w:szCs w:val="30"/>
        </w:rPr>
        <w:t>一级区划在宏观上调整水资源开发利用与保护的关系，协调地区间关系，同时考虑持续发展的需求;二级区划主要确定水域功能类型及功能排序，协调不同用水行业间的关系。</w:t>
      </w:r>
    </w:p>
    <w:p>
      <w:pPr>
        <w:spacing w:line="560" w:lineRule="exact"/>
        <w:rPr>
          <w:rFonts w:ascii="Times New Roman" w:hAnsi="Times New Roman" w:eastAsia="仿宋" w:cs="Times New Roman"/>
          <w:sz w:val="30"/>
          <w:szCs w:val="30"/>
        </w:rPr>
      </w:pPr>
    </w:p>
    <w:p>
      <w:r>
        <w:drawing>
          <wp:inline distT="0" distB="0" distL="0" distR="0">
            <wp:extent cx="5274310" cy="3261995"/>
            <wp:effectExtent l="0" t="0" r="2540" b="0"/>
            <wp:docPr id="117889006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890068" name="图片 1"/>
                    <pic:cNvPicPr>
                      <a:picLocks noChangeAspect="1"/>
                    </pic:cNvPicPr>
                  </pic:nvPicPr>
                  <pic:blipFill>
                    <a:blip r:embed="rId9"/>
                    <a:stretch>
                      <a:fillRect/>
                    </a:stretch>
                  </pic:blipFill>
                  <pic:spPr>
                    <a:xfrm>
                      <a:off x="0" y="0"/>
                      <a:ext cx="5274310" cy="3261995"/>
                    </a:xfrm>
                    <a:prstGeom prst="rect">
                      <a:avLst/>
                    </a:prstGeom>
                  </pic:spPr>
                </pic:pic>
              </a:graphicData>
            </a:graphic>
          </wp:inline>
        </w:drawing>
      </w:r>
    </w:p>
    <w:p>
      <w:pPr>
        <w:jc w:val="center"/>
        <w:rPr>
          <w:rFonts w:hint="default" w:ascii="Times New Roman" w:hAnsi="Times New Roman" w:eastAsia="仿宋" w:cs="Times New Roman"/>
          <w:sz w:val="30"/>
          <w:szCs w:val="30"/>
        </w:rPr>
      </w:pPr>
      <w:r>
        <w:rPr>
          <w:rFonts w:hint="default" w:ascii="Times New Roman" w:hAnsi="Times New Roman" w:eastAsia="仿宋" w:cs="Times New Roman"/>
          <w:sz w:val="30"/>
          <w:szCs w:val="30"/>
        </w:rPr>
        <w:t>图3-1  水功能区划分级分类体系图</w:t>
      </w:r>
    </w:p>
    <w:p>
      <w:pPr>
        <w:adjustRightInd w:val="0"/>
        <w:snapToGrid w:val="0"/>
        <w:spacing w:line="560" w:lineRule="exact"/>
        <w:ind w:firstLine="602" w:firstLineChars="200"/>
        <w:outlineLvl w:val="1"/>
        <w:rPr>
          <w:rFonts w:hint="default" w:ascii="Times New Roman" w:hAnsi="Times New Roman" w:eastAsia="仿宋" w:cs="Times New Roman"/>
          <w:b/>
          <w:sz w:val="30"/>
          <w:szCs w:val="30"/>
        </w:rPr>
      </w:pPr>
      <w:bookmarkStart w:id="28" w:name="_Toc68713483"/>
      <w:bookmarkStart w:id="29" w:name="_Toc153706326"/>
      <w:r>
        <w:rPr>
          <w:rFonts w:hint="default" w:ascii="Times New Roman" w:hAnsi="Times New Roman" w:eastAsia="仿宋" w:cs="Times New Roman"/>
          <w:b/>
          <w:sz w:val="30"/>
          <w:szCs w:val="30"/>
        </w:rPr>
        <w:t>（二）</w:t>
      </w:r>
      <w:bookmarkEnd w:id="28"/>
      <w:r>
        <w:rPr>
          <w:rFonts w:hint="default" w:ascii="Times New Roman" w:hAnsi="Times New Roman" w:eastAsia="仿宋" w:cs="Times New Roman"/>
          <w:b/>
          <w:sz w:val="30"/>
          <w:szCs w:val="30"/>
        </w:rPr>
        <w:t>一级区划的条件和指标</w:t>
      </w:r>
      <w:bookmarkEnd w:id="29"/>
    </w:p>
    <w:p>
      <w:pPr>
        <w:spacing w:line="560" w:lineRule="exact"/>
        <w:ind w:firstLine="602" w:firstLineChars="200"/>
        <w:rPr>
          <w:rFonts w:hint="default" w:ascii="Times New Roman" w:hAnsi="Times New Roman" w:eastAsia="仿宋" w:cs="Times New Roman"/>
          <w:b/>
          <w:sz w:val="30"/>
          <w:szCs w:val="30"/>
        </w:rPr>
      </w:pPr>
      <w:r>
        <w:rPr>
          <w:rFonts w:hint="default" w:ascii="Times New Roman" w:hAnsi="Times New Roman" w:eastAsia="仿宋" w:cs="Times New Roman"/>
          <w:b/>
          <w:sz w:val="30"/>
          <w:szCs w:val="30"/>
        </w:rPr>
        <w:t>1、保护区</w:t>
      </w:r>
    </w:p>
    <w:p>
      <w:pPr>
        <w:spacing w:line="560" w:lineRule="exact"/>
        <w:ind w:firstLine="600" w:firstLineChars="200"/>
        <w:rPr>
          <w:rFonts w:hint="eastAsia" w:ascii="Times New Roman" w:hAnsi="Times New Roman" w:eastAsia="仿宋" w:cs="Times New Roman"/>
          <w:kern w:val="0"/>
          <w:sz w:val="30"/>
          <w:szCs w:val="30"/>
          <w:lang w:eastAsia="zh-CN"/>
        </w:rPr>
      </w:pPr>
      <w:r>
        <w:rPr>
          <w:rFonts w:hint="default" w:ascii="Times New Roman" w:hAnsi="Times New Roman" w:eastAsia="仿宋" w:cs="Times New Roman"/>
          <w:kern w:val="0"/>
          <w:sz w:val="30"/>
          <w:szCs w:val="30"/>
        </w:rPr>
        <w:t>保护区是指对水资源保护、自然生态系统及珍稀濒危物种的保护具有重要意义，需划定范围进行保护的水域</w:t>
      </w:r>
      <w:r>
        <w:rPr>
          <w:rFonts w:hint="eastAsia" w:ascii="Times New Roman" w:hAnsi="Times New Roman" w:eastAsia="仿宋" w:cs="Times New Roman"/>
          <w:kern w:val="0"/>
          <w:sz w:val="30"/>
          <w:szCs w:val="30"/>
          <w:lang w:eastAsia="zh-CN"/>
        </w:rPr>
        <w:t>。</w:t>
      </w:r>
    </w:p>
    <w:p>
      <w:pPr>
        <w:spacing w:line="560" w:lineRule="exact"/>
        <w:ind w:firstLine="600" w:firstLineChars="200"/>
        <w:rPr>
          <w:rFonts w:hint="default" w:ascii="Times New Roman" w:hAnsi="Times New Roman" w:eastAsia="仿宋" w:cs="Times New Roman"/>
          <w:kern w:val="0"/>
          <w:sz w:val="30"/>
          <w:szCs w:val="30"/>
        </w:rPr>
      </w:pPr>
      <w:r>
        <w:rPr>
          <w:rFonts w:hint="default" w:ascii="Times New Roman" w:hAnsi="Times New Roman" w:eastAsia="仿宋" w:cs="Times New Roman"/>
          <w:kern w:val="0"/>
          <w:sz w:val="30"/>
          <w:szCs w:val="30"/>
        </w:rPr>
        <w:t>（1）保护区应具备以下条件之一：</w:t>
      </w:r>
    </w:p>
    <w:p>
      <w:pPr>
        <w:spacing w:line="560" w:lineRule="exact"/>
        <w:ind w:firstLine="600" w:firstLineChars="200"/>
        <w:rPr>
          <w:rFonts w:hint="default" w:ascii="Times New Roman" w:hAnsi="Times New Roman" w:eastAsia="仿宋" w:cs="Times New Roman"/>
          <w:kern w:val="0"/>
          <w:sz w:val="30"/>
          <w:szCs w:val="30"/>
        </w:rPr>
      </w:pPr>
      <w:r>
        <w:rPr>
          <w:rFonts w:hint="default" w:ascii="Times New Roman" w:hAnsi="Times New Roman" w:eastAsia="仿宋" w:cs="Times New Roman"/>
          <w:kern w:val="0"/>
          <w:sz w:val="30"/>
          <w:szCs w:val="30"/>
        </w:rPr>
        <w:t>——重要的涉水国家级和省级自然保护区、省级重要湿地及重要国家级水产种质资源保护区范围内的水域或具有典型生态保护意义的自然生境内的水域；</w:t>
      </w:r>
    </w:p>
    <w:p>
      <w:pPr>
        <w:spacing w:line="560" w:lineRule="exact"/>
        <w:ind w:firstLine="600" w:firstLineChars="200"/>
        <w:rPr>
          <w:rFonts w:hint="default" w:ascii="Times New Roman" w:hAnsi="Times New Roman" w:eastAsia="仿宋" w:cs="Times New Roman"/>
          <w:kern w:val="0"/>
          <w:sz w:val="30"/>
          <w:szCs w:val="30"/>
        </w:rPr>
      </w:pPr>
      <w:r>
        <w:rPr>
          <w:rFonts w:hint="default" w:ascii="Times New Roman" w:hAnsi="Times New Roman" w:eastAsia="仿宋" w:cs="Times New Roman"/>
          <w:kern w:val="0"/>
          <w:sz w:val="30"/>
          <w:szCs w:val="30"/>
        </w:rPr>
        <w:t>——已建和拟建（规划水平年内建设）跨流域、跨区域的调水工程水源（包括线路）和国家重要水源地水域；</w:t>
      </w:r>
    </w:p>
    <w:p>
      <w:pPr>
        <w:spacing w:line="560" w:lineRule="exact"/>
        <w:ind w:firstLine="600" w:firstLineChars="200"/>
        <w:rPr>
          <w:rFonts w:hint="default" w:ascii="Times New Roman" w:hAnsi="Times New Roman" w:eastAsia="仿宋" w:cs="Times New Roman"/>
          <w:kern w:val="0"/>
          <w:sz w:val="30"/>
          <w:szCs w:val="30"/>
        </w:rPr>
      </w:pPr>
      <w:r>
        <w:rPr>
          <w:rFonts w:hint="default" w:ascii="Times New Roman" w:hAnsi="Times New Roman" w:eastAsia="仿宋" w:cs="Times New Roman"/>
          <w:kern w:val="0"/>
          <w:sz w:val="30"/>
          <w:szCs w:val="30"/>
        </w:rPr>
        <w:t>——重要河流源头河段一定范围内的水域。</w:t>
      </w:r>
    </w:p>
    <w:p>
      <w:pPr>
        <w:spacing w:line="560" w:lineRule="exact"/>
        <w:ind w:firstLine="600" w:firstLineChars="200"/>
        <w:rPr>
          <w:rFonts w:hint="default" w:ascii="Times New Roman" w:hAnsi="Times New Roman" w:eastAsia="仿宋" w:cs="Times New Roman"/>
          <w:kern w:val="0"/>
          <w:sz w:val="30"/>
          <w:szCs w:val="30"/>
        </w:rPr>
      </w:pPr>
      <w:r>
        <w:rPr>
          <w:rFonts w:hint="default" w:ascii="Times New Roman" w:hAnsi="Times New Roman" w:eastAsia="仿宋" w:cs="Times New Roman"/>
          <w:kern w:val="0"/>
          <w:sz w:val="30"/>
          <w:szCs w:val="30"/>
        </w:rPr>
        <w:t>（2）划区指标包括集水面积、水量、调水量、保护级别等。</w:t>
      </w:r>
    </w:p>
    <w:p>
      <w:pPr>
        <w:spacing w:line="560" w:lineRule="exact"/>
        <w:ind w:firstLine="600" w:firstLineChars="200"/>
        <w:rPr>
          <w:rFonts w:hint="default" w:ascii="Times New Roman" w:hAnsi="Times New Roman" w:eastAsia="仿宋" w:cs="Times New Roman"/>
          <w:kern w:val="0"/>
          <w:sz w:val="30"/>
          <w:szCs w:val="30"/>
        </w:rPr>
      </w:pPr>
      <w:r>
        <w:rPr>
          <w:rFonts w:hint="default" w:ascii="Times New Roman" w:hAnsi="Times New Roman" w:eastAsia="仿宋" w:cs="Times New Roman"/>
          <w:kern w:val="0"/>
          <w:sz w:val="30"/>
          <w:szCs w:val="30"/>
        </w:rPr>
        <w:t>（3）保护区水质标准原则上应符合《地表水环境质量标准》(GB3838）中的Ⅰ类或Ⅱ类水质标准；当由于自然、地质原因不满足Ⅰ类或Ⅱ类水质标准时，应维持现状水质。</w:t>
      </w:r>
    </w:p>
    <w:p>
      <w:pPr>
        <w:spacing w:line="560" w:lineRule="exact"/>
        <w:ind w:firstLine="602" w:firstLineChars="200"/>
        <w:rPr>
          <w:rFonts w:hint="default" w:ascii="Times New Roman" w:hAnsi="Times New Roman" w:eastAsia="仿宋" w:cs="Times New Roman"/>
          <w:b/>
          <w:sz w:val="30"/>
          <w:szCs w:val="30"/>
        </w:rPr>
      </w:pPr>
      <w:r>
        <w:rPr>
          <w:rFonts w:hint="default" w:ascii="Times New Roman" w:hAnsi="Times New Roman" w:eastAsia="仿宋" w:cs="Times New Roman"/>
          <w:b/>
          <w:sz w:val="30"/>
          <w:szCs w:val="30"/>
        </w:rPr>
        <w:t>2、保留区</w:t>
      </w:r>
    </w:p>
    <w:p>
      <w:pPr>
        <w:spacing w:line="560" w:lineRule="exact"/>
        <w:ind w:firstLine="600" w:firstLineChars="200"/>
        <w:rPr>
          <w:rFonts w:hint="eastAsia" w:ascii="Times New Roman" w:hAnsi="Times New Roman" w:eastAsia="仿宋" w:cs="Times New Roman"/>
          <w:kern w:val="0"/>
          <w:sz w:val="30"/>
          <w:szCs w:val="30"/>
          <w:lang w:eastAsia="zh-CN"/>
        </w:rPr>
      </w:pPr>
      <w:r>
        <w:rPr>
          <w:rFonts w:hint="default" w:ascii="Times New Roman" w:hAnsi="Times New Roman" w:eastAsia="仿宋" w:cs="Times New Roman"/>
          <w:kern w:val="0"/>
          <w:sz w:val="30"/>
          <w:szCs w:val="30"/>
        </w:rPr>
        <w:t>保留区是指目前水资源开发利用程度不高，为今后水资源可持续利用而保留的水域</w:t>
      </w:r>
      <w:r>
        <w:rPr>
          <w:rFonts w:hint="eastAsia" w:ascii="Times New Roman" w:hAnsi="Times New Roman" w:eastAsia="仿宋" w:cs="Times New Roman"/>
          <w:kern w:val="0"/>
          <w:sz w:val="30"/>
          <w:szCs w:val="30"/>
          <w:lang w:eastAsia="zh-CN"/>
        </w:rPr>
        <w:t>。</w:t>
      </w:r>
    </w:p>
    <w:p>
      <w:pPr>
        <w:spacing w:line="560" w:lineRule="exact"/>
        <w:ind w:firstLine="600" w:firstLineChars="200"/>
        <w:rPr>
          <w:rFonts w:hint="default" w:ascii="Times New Roman" w:hAnsi="Times New Roman" w:eastAsia="仿宋" w:cs="Times New Roman"/>
          <w:kern w:val="0"/>
          <w:sz w:val="30"/>
          <w:szCs w:val="30"/>
        </w:rPr>
      </w:pPr>
      <w:r>
        <w:rPr>
          <w:rFonts w:hint="default" w:ascii="Times New Roman" w:hAnsi="Times New Roman" w:eastAsia="仿宋" w:cs="Times New Roman"/>
          <w:kern w:val="0"/>
          <w:sz w:val="30"/>
          <w:szCs w:val="30"/>
        </w:rPr>
        <w:t>（1）保留区应具备以下条件：</w:t>
      </w:r>
    </w:p>
    <w:p>
      <w:pPr>
        <w:spacing w:line="560" w:lineRule="exact"/>
        <w:ind w:firstLine="600" w:firstLineChars="200"/>
        <w:rPr>
          <w:rFonts w:hint="default" w:ascii="Times New Roman" w:hAnsi="Times New Roman" w:eastAsia="仿宋" w:cs="Times New Roman"/>
          <w:kern w:val="0"/>
          <w:sz w:val="30"/>
          <w:szCs w:val="30"/>
        </w:rPr>
      </w:pPr>
      <w:r>
        <w:rPr>
          <w:rFonts w:hint="default" w:ascii="Times New Roman" w:hAnsi="Times New Roman" w:eastAsia="仿宋" w:cs="Times New Roman"/>
          <w:kern w:val="0"/>
          <w:sz w:val="30"/>
          <w:szCs w:val="30"/>
        </w:rPr>
        <w:t>——受人类活动影响较少，水资源开发利用程度较低的水域;</w:t>
      </w:r>
    </w:p>
    <w:p>
      <w:pPr>
        <w:spacing w:line="560" w:lineRule="exact"/>
        <w:ind w:firstLine="600" w:firstLineChars="200"/>
        <w:rPr>
          <w:rFonts w:hint="default" w:ascii="Times New Roman" w:hAnsi="Times New Roman" w:eastAsia="仿宋" w:cs="Times New Roman"/>
          <w:kern w:val="0"/>
          <w:sz w:val="30"/>
          <w:szCs w:val="30"/>
        </w:rPr>
      </w:pPr>
      <w:r>
        <w:rPr>
          <w:rFonts w:hint="default" w:ascii="Times New Roman" w:hAnsi="Times New Roman" w:eastAsia="仿宋" w:cs="Times New Roman"/>
          <w:kern w:val="0"/>
          <w:sz w:val="30"/>
          <w:szCs w:val="30"/>
        </w:rPr>
        <w:t>——目前不具备开发条件的水域；</w:t>
      </w:r>
    </w:p>
    <w:p>
      <w:pPr>
        <w:spacing w:line="560" w:lineRule="exact"/>
        <w:ind w:firstLine="600" w:firstLineChars="200"/>
        <w:rPr>
          <w:rFonts w:hint="default" w:ascii="Times New Roman" w:hAnsi="Times New Roman" w:eastAsia="仿宋" w:cs="Times New Roman"/>
          <w:kern w:val="0"/>
          <w:sz w:val="30"/>
          <w:szCs w:val="30"/>
        </w:rPr>
      </w:pPr>
      <w:r>
        <w:rPr>
          <w:rFonts w:hint="default" w:ascii="Times New Roman" w:hAnsi="Times New Roman" w:eastAsia="仿宋" w:cs="Times New Roman"/>
          <w:kern w:val="0"/>
          <w:sz w:val="30"/>
          <w:szCs w:val="30"/>
        </w:rPr>
        <w:t>——考虑可持续发展需要,为今后的发展保留的水域。</w:t>
      </w:r>
    </w:p>
    <w:p>
      <w:pPr>
        <w:spacing w:line="560" w:lineRule="exact"/>
        <w:ind w:firstLine="600" w:firstLineChars="200"/>
        <w:rPr>
          <w:rFonts w:hint="default" w:ascii="Times New Roman" w:hAnsi="Times New Roman" w:eastAsia="仿宋" w:cs="Times New Roman"/>
          <w:kern w:val="0"/>
          <w:sz w:val="30"/>
          <w:szCs w:val="30"/>
        </w:rPr>
      </w:pPr>
      <w:r>
        <w:rPr>
          <w:rFonts w:hint="default" w:ascii="Times New Roman" w:hAnsi="Times New Roman" w:eastAsia="仿宋" w:cs="Times New Roman"/>
          <w:kern w:val="0"/>
          <w:sz w:val="30"/>
          <w:szCs w:val="30"/>
        </w:rPr>
        <w:t>（2）划区指标包括产值、人口、用水量、水域水质等。</w:t>
      </w:r>
    </w:p>
    <w:p>
      <w:pPr>
        <w:spacing w:line="560" w:lineRule="exact"/>
        <w:ind w:firstLine="600" w:firstLineChars="200"/>
        <w:rPr>
          <w:rFonts w:hint="default" w:ascii="Times New Roman" w:hAnsi="Times New Roman" w:eastAsia="仿宋" w:cs="Times New Roman"/>
          <w:kern w:val="0"/>
          <w:sz w:val="30"/>
          <w:szCs w:val="30"/>
        </w:rPr>
      </w:pPr>
      <w:r>
        <w:rPr>
          <w:rFonts w:hint="default" w:ascii="Times New Roman" w:hAnsi="Times New Roman" w:eastAsia="仿宋" w:cs="Times New Roman"/>
          <w:kern w:val="0"/>
          <w:sz w:val="30"/>
          <w:szCs w:val="30"/>
        </w:rPr>
        <w:t>（3）保留区水质标准应不低于《地表水环境质量标准》（GB3838）规定的Ⅲ类水质标准或按现状水质类别控制。</w:t>
      </w:r>
    </w:p>
    <w:p>
      <w:pPr>
        <w:spacing w:line="560" w:lineRule="exact"/>
        <w:ind w:firstLine="602" w:firstLineChars="200"/>
        <w:rPr>
          <w:rFonts w:hint="default" w:ascii="Times New Roman" w:hAnsi="Times New Roman" w:eastAsia="仿宋" w:cs="Times New Roman"/>
          <w:b/>
          <w:sz w:val="30"/>
          <w:szCs w:val="30"/>
        </w:rPr>
      </w:pPr>
      <w:r>
        <w:rPr>
          <w:rFonts w:hint="default" w:ascii="Times New Roman" w:hAnsi="Times New Roman" w:eastAsia="仿宋" w:cs="Times New Roman"/>
          <w:b/>
          <w:sz w:val="30"/>
          <w:szCs w:val="30"/>
        </w:rPr>
        <w:t>3、开发利用区</w:t>
      </w:r>
    </w:p>
    <w:p>
      <w:pPr>
        <w:spacing w:line="560" w:lineRule="exact"/>
        <w:ind w:firstLine="600" w:firstLineChars="200"/>
        <w:rPr>
          <w:rFonts w:hint="default" w:ascii="Times New Roman" w:hAnsi="Times New Roman" w:eastAsia="仿宋" w:cs="Times New Roman"/>
          <w:kern w:val="0"/>
          <w:sz w:val="30"/>
          <w:szCs w:val="30"/>
        </w:rPr>
      </w:pPr>
      <w:r>
        <w:rPr>
          <w:rFonts w:hint="default" w:ascii="Times New Roman" w:hAnsi="Times New Roman" w:eastAsia="仿宋" w:cs="Times New Roman"/>
          <w:kern w:val="0"/>
          <w:sz w:val="30"/>
          <w:szCs w:val="30"/>
        </w:rPr>
        <w:t>开发利用区是指为满足城镇生活、工农业生产、渔业、娱乐等功能需求而划定的水域。</w:t>
      </w:r>
    </w:p>
    <w:p>
      <w:pPr>
        <w:spacing w:line="560" w:lineRule="exact"/>
        <w:ind w:firstLine="600" w:firstLineChars="200"/>
        <w:rPr>
          <w:rFonts w:hint="eastAsia" w:ascii="Times New Roman" w:hAnsi="Times New Roman" w:eastAsia="仿宋" w:cs="Times New Roman"/>
          <w:kern w:val="0"/>
          <w:sz w:val="30"/>
          <w:szCs w:val="30"/>
          <w:lang w:eastAsia="zh-CN"/>
        </w:rPr>
      </w:pPr>
      <w:r>
        <w:rPr>
          <w:rFonts w:hint="default" w:ascii="Times New Roman" w:hAnsi="Times New Roman" w:eastAsia="仿宋" w:cs="Times New Roman"/>
          <w:kern w:val="0"/>
          <w:sz w:val="30"/>
          <w:szCs w:val="30"/>
        </w:rPr>
        <w:t>（1）划区条件为取水口集中，有关指标达到一定规模和要求的水域</w:t>
      </w:r>
      <w:r>
        <w:rPr>
          <w:rFonts w:hint="eastAsia" w:ascii="Times New Roman" w:hAnsi="Times New Roman" w:eastAsia="仿宋" w:cs="Times New Roman"/>
          <w:kern w:val="0"/>
          <w:sz w:val="30"/>
          <w:szCs w:val="30"/>
          <w:lang w:eastAsia="zh-CN"/>
        </w:rPr>
        <w:t>。</w:t>
      </w:r>
    </w:p>
    <w:p>
      <w:pPr>
        <w:spacing w:line="560" w:lineRule="exact"/>
        <w:ind w:firstLine="600" w:firstLineChars="200"/>
        <w:rPr>
          <w:rFonts w:hint="default" w:ascii="Times New Roman" w:hAnsi="Times New Roman" w:eastAsia="仿宋" w:cs="Times New Roman"/>
          <w:kern w:val="0"/>
          <w:sz w:val="30"/>
          <w:szCs w:val="30"/>
        </w:rPr>
      </w:pPr>
      <w:r>
        <w:rPr>
          <w:rFonts w:hint="default" w:ascii="Times New Roman" w:hAnsi="Times New Roman" w:eastAsia="仿宋" w:cs="Times New Roman"/>
          <w:kern w:val="0"/>
          <w:sz w:val="30"/>
          <w:szCs w:val="30"/>
        </w:rPr>
        <w:t>（2）划区指标包括产值、人口、用水量、排污量、水域水质等。</w:t>
      </w:r>
    </w:p>
    <w:p>
      <w:pPr>
        <w:spacing w:line="560" w:lineRule="exact"/>
        <w:ind w:firstLine="600" w:firstLineChars="200"/>
        <w:rPr>
          <w:rFonts w:hint="default" w:ascii="Times New Roman" w:hAnsi="Times New Roman" w:eastAsia="仿宋" w:cs="Times New Roman"/>
          <w:kern w:val="0"/>
          <w:sz w:val="30"/>
          <w:szCs w:val="30"/>
        </w:rPr>
      </w:pPr>
      <w:r>
        <w:rPr>
          <w:rFonts w:hint="default" w:ascii="Times New Roman" w:hAnsi="Times New Roman" w:eastAsia="仿宋" w:cs="Times New Roman"/>
          <w:kern w:val="0"/>
          <w:sz w:val="30"/>
          <w:szCs w:val="30"/>
        </w:rPr>
        <w:t>（3</w:t>
      </w:r>
      <w:r>
        <w:rPr>
          <w:rFonts w:hint="eastAsia" w:ascii="Times New Roman" w:hAnsi="Times New Roman" w:eastAsia="仿宋" w:cs="Times New Roman"/>
          <w:kern w:val="0"/>
          <w:sz w:val="30"/>
          <w:szCs w:val="30"/>
          <w:lang w:eastAsia="zh-CN"/>
        </w:rPr>
        <w:t>）</w:t>
      </w:r>
      <w:r>
        <w:rPr>
          <w:rFonts w:hint="default" w:ascii="Times New Roman" w:hAnsi="Times New Roman" w:eastAsia="仿宋" w:cs="Times New Roman"/>
          <w:kern w:val="0"/>
          <w:sz w:val="30"/>
          <w:szCs w:val="30"/>
        </w:rPr>
        <w:t>水质标准按照二级水功能区划相应类别的水质标准确定。</w:t>
      </w:r>
    </w:p>
    <w:p>
      <w:pPr>
        <w:spacing w:line="560" w:lineRule="exact"/>
        <w:ind w:firstLine="602" w:firstLineChars="200"/>
        <w:rPr>
          <w:rFonts w:hint="default" w:ascii="Times New Roman" w:hAnsi="Times New Roman" w:eastAsia="仿宋" w:cs="Times New Roman"/>
          <w:b/>
          <w:sz w:val="30"/>
          <w:szCs w:val="30"/>
        </w:rPr>
      </w:pPr>
      <w:r>
        <w:rPr>
          <w:rFonts w:hint="default" w:ascii="Times New Roman" w:hAnsi="Times New Roman" w:eastAsia="仿宋" w:cs="Times New Roman"/>
          <w:b/>
          <w:sz w:val="30"/>
          <w:szCs w:val="30"/>
        </w:rPr>
        <w:t>4、缓冲区</w:t>
      </w:r>
    </w:p>
    <w:p>
      <w:pPr>
        <w:spacing w:line="560" w:lineRule="exact"/>
        <w:ind w:firstLine="600" w:firstLineChars="200"/>
        <w:rPr>
          <w:rFonts w:hint="default" w:ascii="Times New Roman" w:hAnsi="Times New Roman" w:eastAsia="仿宋" w:cs="Times New Roman"/>
          <w:kern w:val="0"/>
          <w:sz w:val="30"/>
          <w:szCs w:val="30"/>
        </w:rPr>
      </w:pPr>
      <w:r>
        <w:rPr>
          <w:rFonts w:hint="default" w:ascii="Times New Roman" w:hAnsi="Times New Roman" w:eastAsia="仿宋" w:cs="Times New Roman"/>
          <w:kern w:val="0"/>
          <w:sz w:val="30"/>
          <w:szCs w:val="30"/>
        </w:rPr>
        <w:t>缓冲区是指为协调省际间、用水矛盾突出的地区间用水关系而划定的水域。</w:t>
      </w:r>
    </w:p>
    <w:p>
      <w:pPr>
        <w:spacing w:line="560" w:lineRule="exact"/>
        <w:ind w:firstLine="600" w:firstLineChars="200"/>
        <w:rPr>
          <w:rFonts w:hint="default" w:ascii="Times New Roman" w:hAnsi="Times New Roman" w:eastAsia="仿宋" w:cs="Times New Roman"/>
          <w:kern w:val="0"/>
          <w:sz w:val="30"/>
          <w:szCs w:val="30"/>
        </w:rPr>
      </w:pPr>
      <w:r>
        <w:rPr>
          <w:rFonts w:hint="default" w:ascii="Times New Roman" w:hAnsi="Times New Roman" w:eastAsia="仿宋" w:cs="Times New Roman"/>
          <w:kern w:val="0"/>
          <w:sz w:val="30"/>
          <w:szCs w:val="30"/>
        </w:rPr>
        <w:t>（1）缓冲区应具备以下划区条件:</w:t>
      </w:r>
    </w:p>
    <w:p>
      <w:pPr>
        <w:spacing w:line="560" w:lineRule="exact"/>
        <w:ind w:firstLine="600" w:firstLineChars="200"/>
        <w:rPr>
          <w:rFonts w:hint="default" w:ascii="Times New Roman" w:hAnsi="Times New Roman" w:eastAsia="仿宋" w:cs="Times New Roman"/>
          <w:kern w:val="0"/>
          <w:sz w:val="30"/>
          <w:szCs w:val="30"/>
        </w:rPr>
      </w:pPr>
      <w:r>
        <w:rPr>
          <w:rFonts w:hint="default" w:ascii="Times New Roman" w:hAnsi="Times New Roman" w:eastAsia="仿宋" w:cs="Times New Roman"/>
          <w:kern w:val="0"/>
          <w:sz w:val="30"/>
          <w:szCs w:val="30"/>
        </w:rPr>
        <w:t>——跨省（自治区、直辖市）行政区域边界的水域；</w:t>
      </w:r>
    </w:p>
    <w:p>
      <w:pPr>
        <w:spacing w:line="560" w:lineRule="exact"/>
        <w:ind w:firstLine="600" w:firstLineChars="200"/>
        <w:rPr>
          <w:rFonts w:hint="default" w:ascii="Times New Roman" w:hAnsi="Times New Roman" w:eastAsia="仿宋" w:cs="Times New Roman"/>
          <w:kern w:val="0"/>
          <w:sz w:val="30"/>
          <w:szCs w:val="30"/>
        </w:rPr>
      </w:pPr>
      <w:r>
        <w:rPr>
          <w:rFonts w:hint="default" w:ascii="Times New Roman" w:hAnsi="Times New Roman" w:eastAsia="仿宋" w:cs="Times New Roman"/>
          <w:kern w:val="0"/>
          <w:sz w:val="30"/>
          <w:szCs w:val="30"/>
        </w:rPr>
        <w:t>——用水矛盾突出的地区之间的水域。</w:t>
      </w:r>
    </w:p>
    <w:p>
      <w:pPr>
        <w:spacing w:line="560" w:lineRule="exact"/>
        <w:ind w:firstLine="600" w:firstLineChars="200"/>
        <w:rPr>
          <w:rFonts w:hint="default" w:ascii="Times New Roman" w:hAnsi="Times New Roman" w:eastAsia="仿宋" w:cs="Times New Roman"/>
          <w:kern w:val="0"/>
          <w:sz w:val="30"/>
          <w:szCs w:val="30"/>
        </w:rPr>
      </w:pPr>
      <w:r>
        <w:rPr>
          <w:rFonts w:hint="default" w:ascii="Times New Roman" w:hAnsi="Times New Roman" w:eastAsia="仿宋" w:cs="Times New Roman"/>
          <w:kern w:val="0"/>
          <w:sz w:val="30"/>
          <w:szCs w:val="30"/>
        </w:rPr>
        <w:t>（2）划区指标包括省界断面水域、用水矛盾突出的水域范围、水质、水量状况等。</w:t>
      </w:r>
    </w:p>
    <w:p>
      <w:pPr>
        <w:spacing w:line="560" w:lineRule="exact"/>
        <w:ind w:firstLine="600" w:firstLineChars="200"/>
        <w:rPr>
          <w:rFonts w:hint="default" w:ascii="Times New Roman" w:hAnsi="Times New Roman" w:eastAsia="仿宋" w:cs="Times New Roman"/>
          <w:kern w:val="0"/>
          <w:sz w:val="30"/>
          <w:szCs w:val="30"/>
        </w:rPr>
      </w:pPr>
      <w:r>
        <w:rPr>
          <w:rFonts w:hint="default" w:ascii="Times New Roman" w:hAnsi="Times New Roman" w:eastAsia="仿宋" w:cs="Times New Roman"/>
          <w:kern w:val="0"/>
          <w:sz w:val="30"/>
          <w:szCs w:val="30"/>
        </w:rPr>
        <w:t>（3）水质标准根据实际需要执行相应水质标准或按现状水质控制。</w:t>
      </w:r>
    </w:p>
    <w:p>
      <w:pPr>
        <w:adjustRightInd w:val="0"/>
        <w:snapToGrid w:val="0"/>
        <w:spacing w:line="560" w:lineRule="exact"/>
        <w:ind w:firstLine="602" w:firstLineChars="200"/>
        <w:outlineLvl w:val="1"/>
        <w:rPr>
          <w:rFonts w:hint="default" w:ascii="Times New Roman" w:hAnsi="Times New Roman" w:eastAsia="仿宋" w:cs="Times New Roman"/>
          <w:b/>
          <w:sz w:val="30"/>
          <w:szCs w:val="30"/>
        </w:rPr>
      </w:pPr>
      <w:bookmarkStart w:id="30" w:name="_Toc153706327"/>
      <w:r>
        <w:rPr>
          <w:rFonts w:hint="default" w:ascii="Times New Roman" w:hAnsi="Times New Roman" w:eastAsia="仿宋" w:cs="Times New Roman"/>
          <w:b/>
          <w:sz w:val="30"/>
          <w:szCs w:val="30"/>
        </w:rPr>
        <w:t>（三）二级区划的条件和指标</w:t>
      </w:r>
      <w:bookmarkEnd w:id="30"/>
    </w:p>
    <w:p>
      <w:pPr>
        <w:spacing w:line="560" w:lineRule="exact"/>
        <w:ind w:firstLine="602" w:firstLineChars="200"/>
        <w:rPr>
          <w:rFonts w:hint="default" w:ascii="Times New Roman" w:hAnsi="Times New Roman" w:eastAsia="仿宋" w:cs="Times New Roman"/>
          <w:b/>
          <w:sz w:val="30"/>
          <w:szCs w:val="30"/>
        </w:rPr>
      </w:pPr>
      <w:r>
        <w:rPr>
          <w:rFonts w:hint="default" w:ascii="Times New Roman" w:hAnsi="Times New Roman" w:eastAsia="仿宋" w:cs="Times New Roman"/>
          <w:b/>
          <w:sz w:val="30"/>
          <w:szCs w:val="30"/>
        </w:rPr>
        <w:t>1、饮用水源区</w:t>
      </w:r>
    </w:p>
    <w:p>
      <w:pPr>
        <w:spacing w:line="560" w:lineRule="exact"/>
        <w:ind w:firstLine="600" w:firstLineChars="200"/>
        <w:rPr>
          <w:rFonts w:hint="default" w:ascii="Times New Roman" w:hAnsi="Times New Roman" w:eastAsia="仿宋" w:cs="Times New Roman"/>
          <w:kern w:val="0"/>
          <w:sz w:val="30"/>
          <w:szCs w:val="30"/>
        </w:rPr>
      </w:pPr>
      <w:r>
        <w:rPr>
          <w:rFonts w:hint="default" w:ascii="Times New Roman" w:hAnsi="Times New Roman" w:eastAsia="仿宋" w:cs="Times New Roman"/>
          <w:kern w:val="0"/>
          <w:sz w:val="30"/>
          <w:szCs w:val="30"/>
        </w:rPr>
        <w:t>饮用水源区是指为城镇提供综合生活用水而划定的水域。</w:t>
      </w:r>
    </w:p>
    <w:p>
      <w:pPr>
        <w:spacing w:line="560" w:lineRule="exact"/>
        <w:ind w:firstLine="600" w:firstLineChars="200"/>
        <w:rPr>
          <w:rFonts w:hint="default" w:ascii="Times New Roman" w:hAnsi="Times New Roman" w:eastAsia="仿宋" w:cs="Times New Roman"/>
          <w:kern w:val="0"/>
          <w:sz w:val="30"/>
          <w:szCs w:val="30"/>
        </w:rPr>
      </w:pPr>
      <w:r>
        <w:rPr>
          <w:rFonts w:hint="default" w:ascii="Times New Roman" w:hAnsi="Times New Roman" w:eastAsia="仿宋" w:cs="Times New Roman"/>
          <w:kern w:val="0"/>
          <w:sz w:val="30"/>
          <w:szCs w:val="30"/>
        </w:rPr>
        <w:t xml:space="preserve">（1）饮用水源区应具备以下划区条件： </w:t>
      </w:r>
    </w:p>
    <w:p>
      <w:pPr>
        <w:spacing w:line="560" w:lineRule="exact"/>
        <w:ind w:firstLine="600" w:firstLineChars="200"/>
        <w:rPr>
          <w:rFonts w:hint="default" w:ascii="Times New Roman" w:hAnsi="Times New Roman" w:eastAsia="仿宋" w:cs="Times New Roman"/>
          <w:kern w:val="0"/>
          <w:sz w:val="30"/>
          <w:szCs w:val="30"/>
        </w:rPr>
      </w:pPr>
      <w:r>
        <w:rPr>
          <w:rFonts w:hint="default" w:ascii="Times New Roman" w:hAnsi="Times New Roman" w:eastAsia="仿宋" w:cs="Times New Roman"/>
          <w:kern w:val="0"/>
          <w:sz w:val="30"/>
          <w:szCs w:val="30"/>
        </w:rPr>
        <w:t>——现有城镇综合生活用水取水口分布较集中的水域，或在规划水平年内为城镇发展设置的综合生活供水水域；</w:t>
      </w:r>
    </w:p>
    <w:p>
      <w:pPr>
        <w:spacing w:line="560" w:lineRule="exact"/>
        <w:ind w:firstLine="600" w:firstLineChars="200"/>
        <w:rPr>
          <w:rFonts w:hint="eastAsia" w:ascii="Times New Roman" w:hAnsi="Times New Roman" w:eastAsia="仿宋" w:cs="Times New Roman"/>
          <w:kern w:val="0"/>
          <w:sz w:val="30"/>
          <w:szCs w:val="30"/>
          <w:lang w:eastAsia="zh-CN"/>
        </w:rPr>
      </w:pPr>
      <w:r>
        <w:rPr>
          <w:rFonts w:hint="default" w:ascii="Times New Roman" w:hAnsi="Times New Roman" w:eastAsia="仿宋" w:cs="Times New Roman"/>
          <w:kern w:val="0"/>
          <w:sz w:val="30"/>
          <w:szCs w:val="30"/>
        </w:rPr>
        <w:t>——用水户的取水量符合取水许可管理的有关规定</w:t>
      </w:r>
      <w:r>
        <w:rPr>
          <w:rFonts w:hint="eastAsia" w:ascii="Times New Roman" w:hAnsi="Times New Roman" w:eastAsia="仿宋" w:cs="Times New Roman"/>
          <w:kern w:val="0"/>
          <w:sz w:val="30"/>
          <w:szCs w:val="30"/>
          <w:lang w:eastAsia="zh-CN"/>
        </w:rPr>
        <w:t>。</w:t>
      </w:r>
    </w:p>
    <w:p>
      <w:pPr>
        <w:spacing w:line="560" w:lineRule="exact"/>
        <w:ind w:firstLine="600" w:firstLineChars="200"/>
        <w:rPr>
          <w:rFonts w:hint="default" w:ascii="Times New Roman" w:hAnsi="Times New Roman" w:eastAsia="仿宋" w:cs="Times New Roman"/>
          <w:kern w:val="0"/>
          <w:sz w:val="30"/>
          <w:szCs w:val="30"/>
        </w:rPr>
      </w:pPr>
      <w:r>
        <w:rPr>
          <w:rFonts w:hint="default" w:ascii="Times New Roman" w:hAnsi="Times New Roman" w:eastAsia="仿宋" w:cs="Times New Roman"/>
          <w:kern w:val="0"/>
          <w:sz w:val="30"/>
          <w:szCs w:val="30"/>
        </w:rPr>
        <w:t>（2）划区指标包括相应的人口、取水总量、取水口分布等。</w:t>
      </w:r>
    </w:p>
    <w:p>
      <w:pPr>
        <w:spacing w:line="560" w:lineRule="exact"/>
        <w:ind w:firstLine="600" w:firstLineChars="200"/>
        <w:rPr>
          <w:rFonts w:hint="default" w:ascii="Times New Roman" w:hAnsi="Times New Roman" w:eastAsia="仿宋" w:cs="Times New Roman"/>
          <w:kern w:val="0"/>
          <w:sz w:val="30"/>
          <w:szCs w:val="30"/>
        </w:rPr>
      </w:pPr>
      <w:r>
        <w:rPr>
          <w:rFonts w:hint="default" w:ascii="Times New Roman" w:hAnsi="Times New Roman" w:eastAsia="仿宋" w:cs="Times New Roman"/>
          <w:kern w:val="0"/>
          <w:sz w:val="30"/>
          <w:szCs w:val="30"/>
        </w:rPr>
        <w:t>（3）水质标准应符合《地表水环境质量标准》(GB3838）中Ⅱ~Ⅲ类水质标准</w:t>
      </w:r>
      <w:r>
        <w:rPr>
          <w:rFonts w:hint="eastAsia" w:ascii="Times New Roman" w:hAnsi="Times New Roman" w:eastAsia="仿宋" w:cs="Times New Roman"/>
          <w:kern w:val="0"/>
          <w:sz w:val="30"/>
          <w:szCs w:val="30"/>
          <w:lang w:eastAsia="zh-CN"/>
        </w:rPr>
        <w:t>，</w:t>
      </w:r>
      <w:r>
        <w:rPr>
          <w:rFonts w:hint="default" w:ascii="Times New Roman" w:hAnsi="Times New Roman" w:eastAsia="仿宋" w:cs="Times New Roman"/>
          <w:kern w:val="0"/>
          <w:sz w:val="30"/>
          <w:szCs w:val="30"/>
        </w:rPr>
        <w:t>经省级人民政府批准的饮用水源一级保护区执行Ⅱ类标准。</w:t>
      </w:r>
    </w:p>
    <w:p>
      <w:pPr>
        <w:spacing w:line="560" w:lineRule="exact"/>
        <w:ind w:firstLine="602" w:firstLineChars="200"/>
        <w:rPr>
          <w:rFonts w:hint="default" w:ascii="Times New Roman" w:hAnsi="Times New Roman" w:eastAsia="仿宋" w:cs="Times New Roman"/>
          <w:b/>
          <w:sz w:val="30"/>
          <w:szCs w:val="30"/>
        </w:rPr>
      </w:pPr>
      <w:r>
        <w:rPr>
          <w:rFonts w:hint="default" w:ascii="Times New Roman" w:hAnsi="Times New Roman" w:eastAsia="仿宋" w:cs="Times New Roman"/>
          <w:b/>
          <w:sz w:val="30"/>
          <w:szCs w:val="30"/>
        </w:rPr>
        <w:t>2、工业用水区</w:t>
      </w:r>
    </w:p>
    <w:p>
      <w:pPr>
        <w:spacing w:line="560" w:lineRule="exact"/>
        <w:ind w:firstLine="600" w:firstLineChars="200"/>
        <w:rPr>
          <w:rFonts w:hint="default" w:ascii="Times New Roman" w:hAnsi="Times New Roman" w:eastAsia="仿宋" w:cs="Times New Roman"/>
          <w:kern w:val="0"/>
          <w:sz w:val="30"/>
          <w:szCs w:val="30"/>
        </w:rPr>
      </w:pPr>
      <w:bookmarkStart w:id="31" w:name="_Hlk153668510"/>
      <w:r>
        <w:rPr>
          <w:rFonts w:hint="default" w:ascii="Times New Roman" w:hAnsi="Times New Roman" w:eastAsia="仿宋" w:cs="Times New Roman"/>
          <w:kern w:val="0"/>
          <w:sz w:val="30"/>
          <w:szCs w:val="30"/>
        </w:rPr>
        <w:t>工业用水区</w:t>
      </w:r>
      <w:bookmarkEnd w:id="31"/>
      <w:r>
        <w:rPr>
          <w:rFonts w:hint="default" w:ascii="Times New Roman" w:hAnsi="Times New Roman" w:eastAsia="仿宋" w:cs="Times New Roman"/>
          <w:kern w:val="0"/>
          <w:sz w:val="30"/>
          <w:szCs w:val="30"/>
        </w:rPr>
        <w:t>是指为满足工业用水需求而划定的水域。</w:t>
      </w:r>
    </w:p>
    <w:p>
      <w:pPr>
        <w:spacing w:line="560" w:lineRule="exact"/>
        <w:ind w:firstLine="600" w:firstLineChars="200"/>
        <w:rPr>
          <w:rFonts w:hint="default" w:ascii="Times New Roman" w:hAnsi="Times New Roman" w:eastAsia="仿宋" w:cs="Times New Roman"/>
          <w:kern w:val="0"/>
          <w:sz w:val="30"/>
          <w:szCs w:val="30"/>
        </w:rPr>
      </w:pPr>
      <w:r>
        <w:rPr>
          <w:rFonts w:hint="default" w:ascii="Times New Roman" w:hAnsi="Times New Roman" w:eastAsia="仿宋" w:cs="Times New Roman"/>
          <w:kern w:val="0"/>
          <w:sz w:val="30"/>
          <w:szCs w:val="30"/>
        </w:rPr>
        <w:t>（1）工业用水区应具备以下划区条件：</w:t>
      </w:r>
    </w:p>
    <w:p>
      <w:pPr>
        <w:spacing w:line="560" w:lineRule="exact"/>
        <w:ind w:firstLine="600" w:firstLineChars="200"/>
        <w:rPr>
          <w:rFonts w:hint="eastAsia" w:ascii="Times New Roman" w:hAnsi="Times New Roman" w:eastAsia="仿宋" w:cs="Times New Roman"/>
          <w:kern w:val="0"/>
          <w:sz w:val="30"/>
          <w:szCs w:val="30"/>
          <w:lang w:eastAsia="zh-CN"/>
        </w:rPr>
      </w:pPr>
      <w:r>
        <w:rPr>
          <w:rFonts w:hint="default" w:ascii="Times New Roman" w:hAnsi="Times New Roman" w:eastAsia="仿宋" w:cs="Times New Roman"/>
          <w:kern w:val="0"/>
          <w:sz w:val="30"/>
          <w:szCs w:val="30"/>
        </w:rPr>
        <w:t>——现有工业用水取水口分布较集中的水域，或在规划水平年内需设置的工业用水供水水域</w:t>
      </w:r>
      <w:r>
        <w:rPr>
          <w:rFonts w:hint="eastAsia" w:ascii="Times New Roman" w:hAnsi="Times New Roman" w:eastAsia="仿宋" w:cs="Times New Roman"/>
          <w:kern w:val="0"/>
          <w:sz w:val="30"/>
          <w:szCs w:val="30"/>
          <w:lang w:eastAsia="zh-CN"/>
        </w:rPr>
        <w:t>；</w:t>
      </w:r>
    </w:p>
    <w:p>
      <w:pPr>
        <w:spacing w:line="560" w:lineRule="exact"/>
        <w:ind w:firstLine="600" w:firstLineChars="200"/>
        <w:rPr>
          <w:rFonts w:hint="eastAsia" w:ascii="Times New Roman" w:hAnsi="Times New Roman" w:eastAsia="仿宋" w:cs="Times New Roman"/>
          <w:kern w:val="0"/>
          <w:sz w:val="30"/>
          <w:szCs w:val="30"/>
          <w:lang w:eastAsia="zh-CN"/>
        </w:rPr>
      </w:pPr>
      <w:r>
        <w:rPr>
          <w:rFonts w:hint="default" w:ascii="Times New Roman" w:hAnsi="Times New Roman" w:eastAsia="仿宋" w:cs="Times New Roman"/>
          <w:kern w:val="0"/>
          <w:sz w:val="30"/>
          <w:szCs w:val="30"/>
        </w:rPr>
        <w:t>——供水水量满足取水许可管理的有关规定</w:t>
      </w:r>
      <w:r>
        <w:rPr>
          <w:rFonts w:hint="eastAsia" w:ascii="Times New Roman" w:hAnsi="Times New Roman" w:eastAsia="仿宋" w:cs="Times New Roman"/>
          <w:kern w:val="0"/>
          <w:sz w:val="30"/>
          <w:szCs w:val="30"/>
          <w:lang w:eastAsia="zh-CN"/>
        </w:rPr>
        <w:t>。</w:t>
      </w:r>
    </w:p>
    <w:p>
      <w:pPr>
        <w:spacing w:line="560" w:lineRule="exact"/>
        <w:ind w:firstLine="600" w:firstLineChars="200"/>
        <w:rPr>
          <w:rFonts w:hint="default" w:ascii="Times New Roman" w:hAnsi="Times New Roman" w:eastAsia="仿宋" w:cs="Times New Roman"/>
          <w:kern w:val="0"/>
          <w:sz w:val="30"/>
          <w:szCs w:val="30"/>
        </w:rPr>
      </w:pPr>
      <w:r>
        <w:rPr>
          <w:rFonts w:hint="default" w:ascii="Times New Roman" w:hAnsi="Times New Roman" w:eastAsia="仿宋" w:cs="Times New Roman"/>
          <w:kern w:val="0"/>
          <w:sz w:val="30"/>
          <w:szCs w:val="30"/>
        </w:rPr>
        <w:t>（2）划区指标包括工业产值、取水总量、取水口分布等。</w:t>
      </w:r>
    </w:p>
    <w:p>
      <w:pPr>
        <w:spacing w:line="560" w:lineRule="exact"/>
        <w:ind w:firstLine="600" w:firstLineChars="200"/>
        <w:rPr>
          <w:rFonts w:hint="default" w:ascii="Times New Roman" w:hAnsi="Times New Roman" w:eastAsia="仿宋" w:cs="Times New Roman"/>
          <w:kern w:val="0"/>
          <w:sz w:val="30"/>
          <w:szCs w:val="30"/>
        </w:rPr>
      </w:pPr>
      <w:r>
        <w:rPr>
          <w:rFonts w:hint="default" w:ascii="Times New Roman" w:hAnsi="Times New Roman" w:eastAsia="仿宋" w:cs="Times New Roman"/>
          <w:kern w:val="0"/>
          <w:sz w:val="30"/>
          <w:szCs w:val="30"/>
        </w:rPr>
        <w:t>（3）水质标准应符合《地表水环境质量标准》（GB3838）中IV类水质标准。</w:t>
      </w:r>
    </w:p>
    <w:p>
      <w:pPr>
        <w:spacing w:line="560" w:lineRule="exact"/>
        <w:ind w:firstLine="602" w:firstLineChars="200"/>
        <w:rPr>
          <w:rFonts w:hint="default" w:ascii="Times New Roman" w:hAnsi="Times New Roman" w:eastAsia="仿宋" w:cs="Times New Roman"/>
          <w:b/>
          <w:sz w:val="30"/>
          <w:szCs w:val="30"/>
        </w:rPr>
      </w:pPr>
      <w:r>
        <w:rPr>
          <w:rFonts w:hint="default" w:ascii="Times New Roman" w:hAnsi="Times New Roman" w:eastAsia="仿宋" w:cs="Times New Roman"/>
          <w:b/>
          <w:sz w:val="30"/>
          <w:szCs w:val="30"/>
        </w:rPr>
        <w:t>3、农业用水区</w:t>
      </w:r>
    </w:p>
    <w:p>
      <w:pPr>
        <w:spacing w:line="560" w:lineRule="exact"/>
        <w:ind w:firstLine="600" w:firstLineChars="200"/>
        <w:rPr>
          <w:rFonts w:hint="default" w:ascii="Times New Roman" w:hAnsi="Times New Roman" w:eastAsia="仿宋" w:cs="Times New Roman"/>
          <w:kern w:val="0"/>
          <w:sz w:val="30"/>
          <w:szCs w:val="30"/>
        </w:rPr>
      </w:pPr>
      <w:bookmarkStart w:id="32" w:name="_Hlk153668534"/>
      <w:r>
        <w:rPr>
          <w:rFonts w:hint="default" w:ascii="Times New Roman" w:hAnsi="Times New Roman" w:eastAsia="仿宋" w:cs="Times New Roman"/>
          <w:kern w:val="0"/>
          <w:sz w:val="30"/>
          <w:szCs w:val="30"/>
        </w:rPr>
        <w:t>农业用水区</w:t>
      </w:r>
      <w:bookmarkEnd w:id="32"/>
      <w:r>
        <w:rPr>
          <w:rFonts w:hint="default" w:ascii="Times New Roman" w:hAnsi="Times New Roman" w:eastAsia="仿宋" w:cs="Times New Roman"/>
          <w:kern w:val="0"/>
          <w:sz w:val="30"/>
          <w:szCs w:val="30"/>
        </w:rPr>
        <w:t>是指为满足农业灌溉用水而划定的水域。</w:t>
      </w:r>
    </w:p>
    <w:p>
      <w:pPr>
        <w:spacing w:line="560" w:lineRule="exact"/>
        <w:ind w:firstLine="600" w:firstLineChars="200"/>
        <w:rPr>
          <w:rFonts w:hint="default" w:ascii="Times New Roman" w:hAnsi="Times New Roman" w:eastAsia="仿宋" w:cs="Times New Roman"/>
          <w:kern w:val="0"/>
          <w:sz w:val="30"/>
          <w:szCs w:val="30"/>
        </w:rPr>
      </w:pPr>
      <w:r>
        <w:rPr>
          <w:rFonts w:hint="default" w:ascii="Times New Roman" w:hAnsi="Times New Roman" w:eastAsia="仿宋" w:cs="Times New Roman"/>
          <w:kern w:val="0"/>
          <w:sz w:val="30"/>
          <w:szCs w:val="30"/>
        </w:rPr>
        <w:t>（1）农业用水区应具备以下划区条件：</w:t>
      </w:r>
    </w:p>
    <w:p>
      <w:pPr>
        <w:spacing w:line="560" w:lineRule="exact"/>
        <w:ind w:firstLine="600" w:firstLineChars="200"/>
        <w:rPr>
          <w:rFonts w:hint="eastAsia" w:ascii="Times New Roman" w:hAnsi="Times New Roman" w:eastAsia="仿宋" w:cs="Times New Roman"/>
          <w:kern w:val="0"/>
          <w:sz w:val="30"/>
          <w:szCs w:val="30"/>
          <w:lang w:eastAsia="zh-CN"/>
        </w:rPr>
      </w:pPr>
      <w:r>
        <w:rPr>
          <w:rFonts w:hint="default" w:ascii="Times New Roman" w:hAnsi="Times New Roman" w:eastAsia="仿宋" w:cs="Times New Roman"/>
          <w:kern w:val="0"/>
          <w:sz w:val="30"/>
          <w:szCs w:val="30"/>
        </w:rPr>
        <w:t>——现有的农业灌溉用水取水口分布较集中的水域，或在规划水平年内需设置的农业灌溉用水供水水域</w:t>
      </w:r>
      <w:r>
        <w:rPr>
          <w:rFonts w:hint="eastAsia" w:ascii="Times New Roman" w:hAnsi="Times New Roman" w:eastAsia="仿宋" w:cs="Times New Roman"/>
          <w:kern w:val="0"/>
          <w:sz w:val="30"/>
          <w:szCs w:val="30"/>
          <w:lang w:eastAsia="zh-CN"/>
        </w:rPr>
        <w:t>；</w:t>
      </w:r>
    </w:p>
    <w:p>
      <w:pPr>
        <w:spacing w:line="560" w:lineRule="exact"/>
        <w:ind w:firstLine="600" w:firstLineChars="200"/>
        <w:rPr>
          <w:rFonts w:hint="default" w:ascii="Times New Roman" w:hAnsi="Times New Roman" w:eastAsia="仿宋" w:cs="Times New Roman"/>
          <w:kern w:val="0"/>
          <w:sz w:val="30"/>
          <w:szCs w:val="30"/>
        </w:rPr>
      </w:pPr>
      <w:r>
        <w:rPr>
          <w:rFonts w:hint="default" w:ascii="Times New Roman" w:hAnsi="Times New Roman" w:eastAsia="仿宋" w:cs="Times New Roman"/>
          <w:kern w:val="0"/>
          <w:sz w:val="30"/>
          <w:szCs w:val="30"/>
        </w:rPr>
        <w:t>——供水量满足取水许可管理的有关规定。</w:t>
      </w:r>
    </w:p>
    <w:p>
      <w:pPr>
        <w:spacing w:line="560" w:lineRule="exact"/>
        <w:ind w:firstLine="600" w:firstLineChars="200"/>
        <w:rPr>
          <w:rFonts w:hint="default" w:ascii="Times New Roman" w:hAnsi="Times New Roman" w:eastAsia="仿宋" w:cs="Times New Roman"/>
          <w:kern w:val="0"/>
          <w:sz w:val="30"/>
          <w:szCs w:val="30"/>
        </w:rPr>
      </w:pPr>
      <w:r>
        <w:rPr>
          <w:rFonts w:hint="default" w:ascii="Times New Roman" w:hAnsi="Times New Roman" w:eastAsia="仿宋" w:cs="Times New Roman"/>
          <w:kern w:val="0"/>
          <w:sz w:val="30"/>
          <w:szCs w:val="30"/>
        </w:rPr>
        <w:t>（2）区划指标包括灌区面积、取水总量、取水口分布等。</w:t>
      </w:r>
    </w:p>
    <w:p>
      <w:pPr>
        <w:spacing w:line="560" w:lineRule="exact"/>
        <w:ind w:firstLine="600" w:firstLineChars="200"/>
        <w:rPr>
          <w:rFonts w:hint="default" w:ascii="Times New Roman" w:hAnsi="Times New Roman" w:eastAsia="仿宋" w:cs="Times New Roman"/>
          <w:kern w:val="0"/>
          <w:sz w:val="30"/>
          <w:szCs w:val="30"/>
        </w:rPr>
      </w:pPr>
      <w:r>
        <w:rPr>
          <w:rFonts w:hint="default" w:ascii="Times New Roman" w:hAnsi="Times New Roman" w:eastAsia="仿宋" w:cs="Times New Roman"/>
          <w:kern w:val="0"/>
          <w:sz w:val="30"/>
          <w:szCs w:val="30"/>
        </w:rPr>
        <w:t>（3）水质标准应符合《地表水环境质量标准》（GB3838）中V类水质标准</w:t>
      </w:r>
      <w:r>
        <w:rPr>
          <w:rFonts w:hint="eastAsia" w:ascii="Times New Roman" w:hAnsi="Times New Roman" w:eastAsia="仿宋" w:cs="Times New Roman"/>
          <w:kern w:val="0"/>
          <w:sz w:val="30"/>
          <w:szCs w:val="30"/>
          <w:lang w:eastAsia="zh-CN"/>
        </w:rPr>
        <w:t>，</w:t>
      </w:r>
      <w:r>
        <w:rPr>
          <w:rFonts w:hint="default" w:ascii="Times New Roman" w:hAnsi="Times New Roman" w:eastAsia="仿宋" w:cs="Times New Roman"/>
          <w:kern w:val="0"/>
          <w:sz w:val="30"/>
          <w:szCs w:val="30"/>
        </w:rPr>
        <w:t>或按《农田灌溉水质标准》（GB5084）的规定确定。</w:t>
      </w:r>
    </w:p>
    <w:p>
      <w:pPr>
        <w:spacing w:line="560" w:lineRule="exact"/>
        <w:ind w:firstLine="602" w:firstLineChars="200"/>
        <w:rPr>
          <w:rFonts w:hint="default" w:ascii="Times New Roman" w:hAnsi="Times New Roman" w:eastAsia="仿宋" w:cs="Times New Roman"/>
          <w:b/>
          <w:sz w:val="30"/>
          <w:szCs w:val="30"/>
        </w:rPr>
      </w:pPr>
      <w:r>
        <w:rPr>
          <w:rFonts w:hint="default" w:ascii="Times New Roman" w:hAnsi="Times New Roman" w:eastAsia="仿宋" w:cs="Times New Roman"/>
          <w:b/>
          <w:sz w:val="30"/>
          <w:szCs w:val="30"/>
        </w:rPr>
        <w:t>4、渔业用水区</w:t>
      </w:r>
    </w:p>
    <w:p>
      <w:pPr>
        <w:spacing w:line="560" w:lineRule="exact"/>
        <w:ind w:firstLine="600" w:firstLineChars="200"/>
        <w:rPr>
          <w:rFonts w:hint="default" w:ascii="Times New Roman" w:hAnsi="Times New Roman" w:eastAsia="仿宋" w:cs="Times New Roman"/>
          <w:kern w:val="0"/>
          <w:sz w:val="30"/>
          <w:szCs w:val="30"/>
        </w:rPr>
      </w:pPr>
      <w:bookmarkStart w:id="33" w:name="_Hlk153668597"/>
      <w:r>
        <w:rPr>
          <w:rFonts w:hint="default" w:ascii="Times New Roman" w:hAnsi="Times New Roman" w:eastAsia="仿宋" w:cs="Times New Roman"/>
          <w:kern w:val="0"/>
          <w:sz w:val="30"/>
          <w:szCs w:val="30"/>
        </w:rPr>
        <w:t>渔业用水区</w:t>
      </w:r>
      <w:bookmarkEnd w:id="33"/>
      <w:r>
        <w:rPr>
          <w:rFonts w:hint="default" w:ascii="Times New Roman" w:hAnsi="Times New Roman" w:eastAsia="仿宋" w:cs="Times New Roman"/>
          <w:kern w:val="0"/>
          <w:sz w:val="30"/>
          <w:szCs w:val="30"/>
        </w:rPr>
        <w:t>是指为水生生物自然繁育以及水产养殖而划定的水域。</w:t>
      </w:r>
    </w:p>
    <w:p>
      <w:pPr>
        <w:spacing w:line="560" w:lineRule="exact"/>
        <w:ind w:firstLine="600" w:firstLineChars="200"/>
        <w:rPr>
          <w:rFonts w:hint="default" w:ascii="Times New Roman" w:hAnsi="Times New Roman" w:eastAsia="仿宋" w:cs="Times New Roman"/>
          <w:kern w:val="0"/>
          <w:sz w:val="30"/>
          <w:szCs w:val="30"/>
        </w:rPr>
      </w:pPr>
      <w:r>
        <w:rPr>
          <w:rFonts w:hint="default" w:ascii="Times New Roman" w:hAnsi="Times New Roman" w:eastAsia="仿宋" w:cs="Times New Roman"/>
          <w:kern w:val="0"/>
          <w:sz w:val="30"/>
          <w:szCs w:val="30"/>
        </w:rPr>
        <w:t>（1）渔业用水区应具备以下划区条件：</w:t>
      </w:r>
    </w:p>
    <w:p>
      <w:pPr>
        <w:spacing w:line="560" w:lineRule="exact"/>
        <w:ind w:firstLine="600" w:firstLineChars="200"/>
        <w:rPr>
          <w:rFonts w:hint="default" w:ascii="Times New Roman" w:hAnsi="Times New Roman" w:eastAsia="仿宋" w:cs="Times New Roman"/>
          <w:kern w:val="0"/>
          <w:sz w:val="30"/>
          <w:szCs w:val="30"/>
        </w:rPr>
      </w:pPr>
      <w:r>
        <w:rPr>
          <w:rFonts w:hint="default" w:ascii="Times New Roman" w:hAnsi="Times New Roman" w:eastAsia="仿宋" w:cs="Times New Roman"/>
          <w:kern w:val="0"/>
          <w:sz w:val="30"/>
          <w:szCs w:val="30"/>
        </w:rPr>
        <w:t>——天然的或天然水域中人工营造的水生生物养殖用水的水域；</w:t>
      </w:r>
    </w:p>
    <w:p>
      <w:pPr>
        <w:spacing w:line="560" w:lineRule="exact"/>
        <w:ind w:firstLine="600" w:firstLineChars="200"/>
        <w:rPr>
          <w:rFonts w:hint="default" w:ascii="Times New Roman" w:hAnsi="Times New Roman" w:eastAsia="仿宋" w:cs="Times New Roman"/>
          <w:kern w:val="0"/>
          <w:sz w:val="30"/>
          <w:szCs w:val="30"/>
        </w:rPr>
      </w:pPr>
      <w:r>
        <w:rPr>
          <w:rFonts w:hint="default" w:ascii="Times New Roman" w:hAnsi="Times New Roman" w:eastAsia="仿宋" w:cs="Times New Roman"/>
          <w:kern w:val="0"/>
          <w:sz w:val="30"/>
          <w:szCs w:val="30"/>
        </w:rPr>
        <w:t>——天然的水生生物的重要产卵场、索饵场、越冬场及主要洄游通道涉及的水域或为水生生物养护、生态修复所开展的增殖水域。</w:t>
      </w:r>
    </w:p>
    <w:p>
      <w:pPr>
        <w:spacing w:line="560" w:lineRule="exact"/>
        <w:ind w:firstLine="600" w:firstLineChars="200"/>
        <w:rPr>
          <w:rFonts w:hint="default" w:ascii="Times New Roman" w:hAnsi="Times New Roman" w:eastAsia="仿宋" w:cs="Times New Roman"/>
          <w:kern w:val="0"/>
          <w:sz w:val="30"/>
          <w:szCs w:val="30"/>
        </w:rPr>
      </w:pPr>
      <w:r>
        <w:rPr>
          <w:rFonts w:hint="default" w:ascii="Times New Roman" w:hAnsi="Times New Roman" w:eastAsia="仿宋" w:cs="Times New Roman"/>
          <w:kern w:val="0"/>
          <w:sz w:val="30"/>
          <w:szCs w:val="30"/>
        </w:rPr>
        <w:t>（2）划区指标包括主要水生生物物种、资源量以及水产养殖产量、产值等。</w:t>
      </w:r>
    </w:p>
    <w:p>
      <w:pPr>
        <w:spacing w:line="560" w:lineRule="exact"/>
        <w:ind w:firstLine="600" w:firstLineChars="200"/>
        <w:rPr>
          <w:rFonts w:hint="default" w:ascii="Times New Roman" w:hAnsi="Times New Roman" w:eastAsia="仿宋" w:cs="Times New Roman"/>
          <w:kern w:val="0"/>
          <w:sz w:val="30"/>
          <w:szCs w:val="30"/>
        </w:rPr>
      </w:pPr>
      <w:r>
        <w:rPr>
          <w:rFonts w:hint="default" w:ascii="Times New Roman" w:hAnsi="Times New Roman" w:eastAsia="仿宋" w:cs="Times New Roman"/>
          <w:kern w:val="0"/>
          <w:sz w:val="30"/>
          <w:szCs w:val="30"/>
        </w:rPr>
        <w:t>（3）水质标准应符合《渔业水质标准》（GB11607）的规定，也可按《地表水环境质量标准》(GB3838）中II类或III类水质标准确定。</w:t>
      </w:r>
    </w:p>
    <w:p>
      <w:pPr>
        <w:spacing w:line="560" w:lineRule="exact"/>
        <w:ind w:firstLine="602" w:firstLineChars="200"/>
        <w:rPr>
          <w:rFonts w:hint="default" w:ascii="Times New Roman" w:hAnsi="Times New Roman" w:eastAsia="仿宋" w:cs="Times New Roman"/>
          <w:b/>
          <w:sz w:val="30"/>
          <w:szCs w:val="30"/>
        </w:rPr>
      </w:pPr>
      <w:r>
        <w:rPr>
          <w:rFonts w:hint="default" w:ascii="Times New Roman" w:hAnsi="Times New Roman" w:eastAsia="仿宋" w:cs="Times New Roman"/>
          <w:b/>
          <w:sz w:val="30"/>
          <w:szCs w:val="30"/>
        </w:rPr>
        <w:t>5、景观娱乐用水区</w:t>
      </w:r>
    </w:p>
    <w:p>
      <w:pPr>
        <w:spacing w:line="560" w:lineRule="exact"/>
        <w:ind w:firstLine="600" w:firstLineChars="200"/>
        <w:rPr>
          <w:rFonts w:hint="eastAsia" w:ascii="Times New Roman" w:hAnsi="Times New Roman" w:eastAsia="仿宋" w:cs="Times New Roman"/>
          <w:kern w:val="0"/>
          <w:sz w:val="30"/>
          <w:szCs w:val="30"/>
          <w:lang w:eastAsia="zh-CN"/>
        </w:rPr>
      </w:pPr>
      <w:r>
        <w:rPr>
          <w:rFonts w:hint="default" w:ascii="Times New Roman" w:hAnsi="Times New Roman" w:eastAsia="仿宋" w:cs="Times New Roman"/>
          <w:kern w:val="0"/>
          <w:sz w:val="30"/>
          <w:szCs w:val="30"/>
        </w:rPr>
        <w:t>景观娱乐用水区是指以满足景观、疗养、度假和娱乐需要为目的的江河湖库等水域</w:t>
      </w:r>
      <w:r>
        <w:rPr>
          <w:rFonts w:hint="eastAsia" w:ascii="Times New Roman" w:hAnsi="Times New Roman" w:eastAsia="仿宋" w:cs="Times New Roman"/>
          <w:kern w:val="0"/>
          <w:sz w:val="30"/>
          <w:szCs w:val="30"/>
          <w:lang w:eastAsia="zh-CN"/>
        </w:rPr>
        <w:t>。</w:t>
      </w:r>
    </w:p>
    <w:p>
      <w:pPr>
        <w:spacing w:line="560" w:lineRule="exact"/>
        <w:ind w:firstLine="600" w:firstLineChars="200"/>
        <w:rPr>
          <w:rFonts w:hint="default" w:ascii="Times New Roman" w:hAnsi="Times New Roman" w:eastAsia="仿宋" w:cs="Times New Roman"/>
          <w:kern w:val="0"/>
          <w:sz w:val="30"/>
          <w:szCs w:val="30"/>
        </w:rPr>
      </w:pPr>
      <w:r>
        <w:rPr>
          <w:rFonts w:hint="default" w:ascii="Times New Roman" w:hAnsi="Times New Roman" w:eastAsia="仿宋" w:cs="Times New Roman"/>
          <w:kern w:val="0"/>
          <w:sz w:val="30"/>
          <w:szCs w:val="30"/>
        </w:rPr>
        <w:t>（1）景观娱乐用水区应具备以下划区条件：</w:t>
      </w:r>
    </w:p>
    <w:p>
      <w:pPr>
        <w:spacing w:line="560" w:lineRule="exact"/>
        <w:ind w:firstLine="600" w:firstLineChars="200"/>
        <w:rPr>
          <w:rFonts w:hint="default" w:ascii="Times New Roman" w:hAnsi="Times New Roman" w:eastAsia="仿宋" w:cs="Times New Roman"/>
          <w:kern w:val="0"/>
          <w:sz w:val="30"/>
          <w:szCs w:val="30"/>
        </w:rPr>
      </w:pPr>
      <w:r>
        <w:rPr>
          <w:rFonts w:hint="default" w:ascii="Times New Roman" w:hAnsi="Times New Roman" w:eastAsia="仿宋" w:cs="Times New Roman"/>
          <w:kern w:val="0"/>
          <w:sz w:val="30"/>
          <w:szCs w:val="30"/>
        </w:rPr>
        <w:t>——休闲、娱乐、度假所涉及的水域和水上运动场需要的水域；</w:t>
      </w:r>
    </w:p>
    <w:p>
      <w:pPr>
        <w:spacing w:line="560" w:lineRule="exact"/>
        <w:ind w:firstLine="600" w:firstLineChars="200"/>
        <w:rPr>
          <w:rFonts w:hint="default" w:ascii="Times New Roman" w:hAnsi="Times New Roman" w:eastAsia="仿宋" w:cs="Times New Roman"/>
          <w:kern w:val="0"/>
          <w:sz w:val="30"/>
          <w:szCs w:val="30"/>
        </w:rPr>
      </w:pPr>
      <w:r>
        <w:rPr>
          <w:rFonts w:hint="default" w:ascii="Times New Roman" w:hAnsi="Times New Roman" w:eastAsia="仿宋" w:cs="Times New Roman"/>
          <w:kern w:val="0"/>
          <w:sz w:val="30"/>
          <w:szCs w:val="30"/>
        </w:rPr>
        <w:t>——风景名胜区所涉及的水域。</w:t>
      </w:r>
    </w:p>
    <w:p>
      <w:pPr>
        <w:spacing w:line="560" w:lineRule="exact"/>
        <w:ind w:firstLine="600" w:firstLineChars="200"/>
        <w:rPr>
          <w:rFonts w:hint="default" w:ascii="Times New Roman" w:hAnsi="Times New Roman" w:eastAsia="仿宋" w:cs="Times New Roman"/>
          <w:kern w:val="0"/>
          <w:sz w:val="30"/>
          <w:szCs w:val="30"/>
        </w:rPr>
      </w:pPr>
      <w:r>
        <w:rPr>
          <w:rFonts w:hint="default" w:ascii="Times New Roman" w:hAnsi="Times New Roman" w:eastAsia="仿宋" w:cs="Times New Roman"/>
          <w:kern w:val="0"/>
          <w:sz w:val="30"/>
          <w:szCs w:val="30"/>
        </w:rPr>
        <w:t>（2）划区指标包括景观娱乐功能需求、水域规模等。</w:t>
      </w:r>
    </w:p>
    <w:p>
      <w:pPr>
        <w:spacing w:line="560" w:lineRule="exact"/>
        <w:ind w:firstLine="600" w:firstLineChars="200"/>
        <w:rPr>
          <w:rFonts w:hint="default" w:ascii="Times New Roman" w:hAnsi="Times New Roman" w:eastAsia="仿宋" w:cs="Times New Roman"/>
          <w:kern w:val="0"/>
          <w:sz w:val="30"/>
          <w:szCs w:val="30"/>
        </w:rPr>
      </w:pPr>
      <w:r>
        <w:rPr>
          <w:rFonts w:hint="default" w:ascii="Times New Roman" w:hAnsi="Times New Roman" w:eastAsia="仿宋" w:cs="Times New Roman"/>
          <w:kern w:val="0"/>
          <w:sz w:val="30"/>
          <w:szCs w:val="30"/>
        </w:rPr>
        <w:t>（3）水质标准应根据具体使用功能符合《地表水环境质量标准》（GB3838)中相应水质标准。</w:t>
      </w:r>
    </w:p>
    <w:p>
      <w:pPr>
        <w:spacing w:line="560" w:lineRule="exact"/>
        <w:ind w:firstLine="602" w:firstLineChars="200"/>
        <w:rPr>
          <w:rFonts w:hint="default" w:ascii="Times New Roman" w:hAnsi="Times New Roman" w:eastAsia="仿宋" w:cs="Times New Roman"/>
          <w:b/>
          <w:sz w:val="30"/>
          <w:szCs w:val="30"/>
        </w:rPr>
      </w:pPr>
      <w:r>
        <w:rPr>
          <w:rFonts w:hint="default" w:ascii="Times New Roman" w:hAnsi="Times New Roman" w:eastAsia="仿宋" w:cs="Times New Roman"/>
          <w:b/>
          <w:sz w:val="30"/>
          <w:szCs w:val="30"/>
        </w:rPr>
        <w:t>6、过渡区</w:t>
      </w:r>
    </w:p>
    <w:p>
      <w:pPr>
        <w:spacing w:line="560" w:lineRule="exact"/>
        <w:ind w:firstLine="600" w:firstLineChars="200"/>
        <w:rPr>
          <w:rFonts w:hint="default" w:ascii="Times New Roman" w:hAnsi="Times New Roman" w:eastAsia="仿宋" w:cs="Times New Roman"/>
          <w:kern w:val="0"/>
          <w:sz w:val="30"/>
          <w:szCs w:val="30"/>
        </w:rPr>
      </w:pPr>
      <w:r>
        <w:rPr>
          <w:rFonts w:hint="default" w:ascii="Times New Roman" w:hAnsi="Times New Roman" w:eastAsia="仿宋" w:cs="Times New Roman"/>
          <w:kern w:val="0"/>
          <w:sz w:val="30"/>
          <w:szCs w:val="30"/>
        </w:rPr>
        <w:t>过渡区是指为满足水质目标有较大差异的相邻水功能区间水质要求</w:t>
      </w:r>
      <w:r>
        <w:rPr>
          <w:rFonts w:hint="eastAsia" w:ascii="Times New Roman" w:hAnsi="Times New Roman" w:eastAsia="仿宋" w:cs="Times New Roman"/>
          <w:kern w:val="0"/>
          <w:sz w:val="30"/>
          <w:szCs w:val="30"/>
          <w:lang w:eastAsia="zh-CN"/>
        </w:rPr>
        <w:t>，</w:t>
      </w:r>
      <w:r>
        <w:rPr>
          <w:rFonts w:hint="default" w:ascii="Times New Roman" w:hAnsi="Times New Roman" w:eastAsia="仿宋" w:cs="Times New Roman"/>
          <w:kern w:val="0"/>
          <w:sz w:val="30"/>
          <w:szCs w:val="30"/>
        </w:rPr>
        <w:t>而划定的过渡衔接水域。</w:t>
      </w:r>
    </w:p>
    <w:p>
      <w:pPr>
        <w:spacing w:line="560" w:lineRule="exact"/>
        <w:ind w:firstLine="600" w:firstLineChars="200"/>
        <w:rPr>
          <w:rFonts w:hint="default" w:ascii="Times New Roman" w:hAnsi="Times New Roman" w:eastAsia="仿宋" w:cs="Times New Roman"/>
          <w:kern w:val="0"/>
          <w:sz w:val="30"/>
          <w:szCs w:val="30"/>
        </w:rPr>
      </w:pPr>
      <w:r>
        <w:rPr>
          <w:rFonts w:hint="default" w:ascii="Times New Roman" w:hAnsi="Times New Roman" w:eastAsia="仿宋" w:cs="Times New Roman"/>
          <w:kern w:val="0"/>
          <w:sz w:val="30"/>
          <w:szCs w:val="30"/>
        </w:rPr>
        <w:t>（1）过渡区应具备以下划区条件：</w:t>
      </w:r>
    </w:p>
    <w:p>
      <w:pPr>
        <w:spacing w:line="560" w:lineRule="exact"/>
        <w:ind w:firstLine="600" w:firstLineChars="200"/>
        <w:rPr>
          <w:rFonts w:hint="default" w:ascii="Times New Roman" w:hAnsi="Times New Roman" w:eastAsia="仿宋" w:cs="Times New Roman"/>
          <w:kern w:val="0"/>
          <w:sz w:val="30"/>
          <w:szCs w:val="30"/>
        </w:rPr>
      </w:pPr>
      <w:r>
        <w:rPr>
          <w:rFonts w:hint="default" w:ascii="Times New Roman" w:hAnsi="Times New Roman" w:eastAsia="仿宋" w:cs="Times New Roman"/>
          <w:kern w:val="0"/>
          <w:sz w:val="30"/>
          <w:szCs w:val="30"/>
        </w:rPr>
        <w:t>——下游水质要求高于上游水质要求的相邻功能区之间的水域；</w:t>
      </w:r>
    </w:p>
    <w:p>
      <w:pPr>
        <w:spacing w:line="560" w:lineRule="exact"/>
        <w:ind w:firstLine="600" w:firstLineChars="200"/>
        <w:rPr>
          <w:rFonts w:hint="default" w:ascii="Times New Roman" w:hAnsi="Times New Roman" w:eastAsia="仿宋" w:cs="Times New Roman"/>
          <w:kern w:val="0"/>
          <w:sz w:val="30"/>
          <w:szCs w:val="30"/>
        </w:rPr>
      </w:pPr>
      <w:r>
        <w:rPr>
          <w:rFonts w:hint="default" w:ascii="Times New Roman" w:hAnsi="Times New Roman" w:eastAsia="仿宋" w:cs="Times New Roman"/>
          <w:kern w:val="0"/>
          <w:sz w:val="30"/>
          <w:szCs w:val="30"/>
        </w:rPr>
        <w:t>（2）划区指标包括水质与水量。</w:t>
      </w:r>
    </w:p>
    <w:p>
      <w:pPr>
        <w:spacing w:line="560" w:lineRule="exact"/>
        <w:ind w:firstLine="600" w:firstLineChars="200"/>
        <w:rPr>
          <w:rFonts w:hint="default" w:ascii="Times New Roman" w:hAnsi="Times New Roman" w:eastAsia="仿宋" w:cs="Times New Roman"/>
          <w:kern w:val="0"/>
          <w:sz w:val="30"/>
          <w:szCs w:val="30"/>
        </w:rPr>
      </w:pPr>
      <w:r>
        <w:rPr>
          <w:rFonts w:hint="default" w:ascii="Times New Roman" w:hAnsi="Times New Roman" w:eastAsia="仿宋" w:cs="Times New Roman"/>
          <w:kern w:val="0"/>
          <w:sz w:val="30"/>
          <w:szCs w:val="30"/>
        </w:rPr>
        <w:t>（3）水质标准应按出流断面水质达到相邻功能区的水质目标要求选择相应的控制标准。</w:t>
      </w:r>
    </w:p>
    <w:p>
      <w:pPr>
        <w:spacing w:line="560" w:lineRule="exact"/>
        <w:ind w:firstLine="602" w:firstLineChars="200"/>
        <w:rPr>
          <w:rFonts w:hint="default" w:ascii="Times New Roman" w:hAnsi="Times New Roman" w:eastAsia="仿宋" w:cs="Times New Roman"/>
          <w:b/>
          <w:sz w:val="30"/>
          <w:szCs w:val="30"/>
        </w:rPr>
      </w:pPr>
      <w:r>
        <w:rPr>
          <w:rFonts w:hint="default" w:ascii="Times New Roman" w:hAnsi="Times New Roman" w:eastAsia="仿宋" w:cs="Times New Roman"/>
          <w:b/>
          <w:sz w:val="30"/>
          <w:szCs w:val="30"/>
        </w:rPr>
        <w:t>7、排污控制区</w:t>
      </w:r>
    </w:p>
    <w:p>
      <w:pPr>
        <w:spacing w:line="560" w:lineRule="exact"/>
        <w:ind w:firstLine="600" w:firstLineChars="200"/>
        <w:rPr>
          <w:rFonts w:hint="default" w:ascii="Times New Roman" w:hAnsi="Times New Roman" w:eastAsia="仿宋" w:cs="Times New Roman"/>
          <w:kern w:val="0"/>
          <w:sz w:val="30"/>
          <w:szCs w:val="30"/>
        </w:rPr>
      </w:pPr>
      <w:r>
        <w:rPr>
          <w:rFonts w:hint="default" w:ascii="Times New Roman" w:hAnsi="Times New Roman" w:eastAsia="仿宋" w:cs="Times New Roman"/>
          <w:kern w:val="0"/>
          <w:sz w:val="30"/>
          <w:szCs w:val="30"/>
        </w:rPr>
        <w:t>排污控制区是指生产、生活废污水排污口比较集中的水域</w:t>
      </w:r>
      <w:r>
        <w:rPr>
          <w:rFonts w:hint="eastAsia" w:ascii="Times New Roman" w:hAnsi="Times New Roman" w:eastAsia="仿宋" w:cs="Times New Roman"/>
          <w:kern w:val="0"/>
          <w:sz w:val="30"/>
          <w:szCs w:val="30"/>
          <w:lang w:eastAsia="zh-CN"/>
        </w:rPr>
        <w:t>，</w:t>
      </w:r>
      <w:r>
        <w:rPr>
          <w:rFonts w:hint="default" w:ascii="Times New Roman" w:hAnsi="Times New Roman" w:eastAsia="仿宋" w:cs="Times New Roman"/>
          <w:kern w:val="0"/>
          <w:sz w:val="30"/>
          <w:szCs w:val="30"/>
        </w:rPr>
        <w:t>且所接纳的废污水不对下游水环境保护目标产生重大不利影响。</w:t>
      </w:r>
    </w:p>
    <w:p>
      <w:pPr>
        <w:spacing w:line="560" w:lineRule="exact"/>
        <w:ind w:firstLine="600" w:firstLineChars="200"/>
        <w:rPr>
          <w:rFonts w:hint="default" w:ascii="Times New Roman" w:hAnsi="Times New Roman" w:eastAsia="仿宋" w:cs="Times New Roman"/>
          <w:kern w:val="0"/>
          <w:sz w:val="30"/>
          <w:szCs w:val="30"/>
        </w:rPr>
      </w:pPr>
      <w:r>
        <w:rPr>
          <w:rFonts w:hint="default" w:ascii="Times New Roman" w:hAnsi="Times New Roman" w:eastAsia="仿宋" w:cs="Times New Roman"/>
          <w:kern w:val="0"/>
          <w:sz w:val="30"/>
          <w:szCs w:val="30"/>
        </w:rPr>
        <w:t>（1）排污控制区应具备以下划区条件：</w:t>
      </w:r>
    </w:p>
    <w:p>
      <w:pPr>
        <w:spacing w:line="560" w:lineRule="exact"/>
        <w:ind w:firstLine="600" w:firstLineChars="200"/>
        <w:rPr>
          <w:rFonts w:hint="eastAsia" w:ascii="Times New Roman" w:hAnsi="Times New Roman" w:eastAsia="仿宋" w:cs="Times New Roman"/>
          <w:kern w:val="0"/>
          <w:sz w:val="30"/>
          <w:szCs w:val="30"/>
          <w:lang w:eastAsia="zh-CN"/>
        </w:rPr>
      </w:pPr>
      <w:r>
        <w:rPr>
          <w:rFonts w:hint="default" w:ascii="Times New Roman" w:hAnsi="Times New Roman" w:eastAsia="仿宋" w:cs="Times New Roman"/>
          <w:kern w:val="0"/>
          <w:sz w:val="30"/>
          <w:szCs w:val="30"/>
        </w:rPr>
        <w:t>——接纳废污水中污染物为可稀释降解的</w:t>
      </w:r>
      <w:r>
        <w:rPr>
          <w:rFonts w:hint="eastAsia" w:ascii="Times New Roman" w:hAnsi="Times New Roman" w:eastAsia="仿宋" w:cs="Times New Roman"/>
          <w:kern w:val="0"/>
          <w:sz w:val="30"/>
          <w:szCs w:val="30"/>
          <w:lang w:eastAsia="zh-CN"/>
        </w:rPr>
        <w:t>；</w:t>
      </w:r>
    </w:p>
    <w:p>
      <w:pPr>
        <w:spacing w:line="560" w:lineRule="exact"/>
        <w:ind w:firstLine="600" w:firstLineChars="200"/>
        <w:rPr>
          <w:rFonts w:hint="default" w:ascii="Times New Roman" w:hAnsi="Times New Roman" w:eastAsia="仿宋" w:cs="Times New Roman"/>
          <w:kern w:val="0"/>
          <w:sz w:val="30"/>
          <w:szCs w:val="30"/>
        </w:rPr>
      </w:pPr>
      <w:r>
        <w:rPr>
          <w:rFonts w:hint="default" w:ascii="Times New Roman" w:hAnsi="Times New Roman" w:eastAsia="仿宋" w:cs="Times New Roman"/>
          <w:kern w:val="0"/>
          <w:sz w:val="30"/>
          <w:szCs w:val="30"/>
        </w:rPr>
        <w:t>——水域稀释自净能力较强</w:t>
      </w:r>
      <w:r>
        <w:rPr>
          <w:rFonts w:hint="eastAsia" w:ascii="Times New Roman" w:hAnsi="Times New Roman" w:eastAsia="仿宋" w:cs="Times New Roman"/>
          <w:kern w:val="0"/>
          <w:sz w:val="30"/>
          <w:szCs w:val="30"/>
          <w:lang w:eastAsia="zh-CN"/>
        </w:rPr>
        <w:t>，</w:t>
      </w:r>
      <w:r>
        <w:rPr>
          <w:rFonts w:hint="default" w:ascii="Times New Roman" w:hAnsi="Times New Roman" w:eastAsia="仿宋" w:cs="Times New Roman"/>
          <w:kern w:val="0"/>
          <w:sz w:val="30"/>
          <w:szCs w:val="30"/>
        </w:rPr>
        <w:t>其水文、生态特性适宜作为排污区。</w:t>
      </w:r>
    </w:p>
    <w:p>
      <w:pPr>
        <w:spacing w:line="560" w:lineRule="exact"/>
        <w:ind w:firstLine="600" w:firstLineChars="200"/>
        <w:rPr>
          <w:rFonts w:hint="default" w:ascii="Times New Roman" w:hAnsi="Times New Roman" w:eastAsia="仿宋" w:cs="Times New Roman"/>
          <w:kern w:val="0"/>
          <w:sz w:val="30"/>
          <w:szCs w:val="30"/>
        </w:rPr>
      </w:pPr>
      <w:r>
        <w:rPr>
          <w:rFonts w:hint="default" w:ascii="Times New Roman" w:hAnsi="Times New Roman" w:eastAsia="仿宋" w:cs="Times New Roman"/>
          <w:kern w:val="0"/>
          <w:sz w:val="30"/>
          <w:szCs w:val="30"/>
        </w:rPr>
        <w:t>（2）划区指标包括污染物类型、排污量、排污口分布等。</w:t>
      </w:r>
    </w:p>
    <w:p>
      <w:pPr>
        <w:spacing w:line="560" w:lineRule="exact"/>
        <w:ind w:firstLine="600" w:firstLineChars="200"/>
        <w:rPr>
          <w:rFonts w:hint="default" w:ascii="Times New Roman" w:hAnsi="Times New Roman" w:eastAsia="仿宋" w:cs="Times New Roman"/>
          <w:kern w:val="0"/>
          <w:sz w:val="30"/>
          <w:szCs w:val="30"/>
        </w:rPr>
      </w:pPr>
      <w:r>
        <w:rPr>
          <w:rFonts w:hint="default" w:ascii="Times New Roman" w:hAnsi="Times New Roman" w:eastAsia="仿宋" w:cs="Times New Roman"/>
          <w:kern w:val="0"/>
          <w:sz w:val="30"/>
          <w:szCs w:val="30"/>
        </w:rPr>
        <w:t>（3）水质标准应按其出流断面的水质状况达到相邻水功能区的水质控制标准确定。</w:t>
      </w:r>
    </w:p>
    <w:p>
      <w:pPr>
        <w:adjustRightInd w:val="0"/>
        <w:snapToGrid w:val="0"/>
        <w:spacing w:line="560" w:lineRule="exact"/>
        <w:outlineLvl w:val="0"/>
        <w:rPr>
          <w:rFonts w:hint="default" w:ascii="Times New Roman" w:hAnsi="Times New Roman" w:eastAsia="仿宋" w:cs="Times New Roman"/>
          <w:b/>
          <w:sz w:val="32"/>
          <w:szCs w:val="32"/>
        </w:rPr>
      </w:pPr>
      <w:bookmarkStart w:id="34" w:name="_Toc153706328"/>
      <w:r>
        <w:rPr>
          <w:rFonts w:hint="default" w:ascii="Times New Roman" w:hAnsi="Times New Roman" w:eastAsia="仿宋" w:cs="Times New Roman"/>
          <w:b/>
          <w:sz w:val="32"/>
          <w:szCs w:val="32"/>
        </w:rPr>
        <w:t>四、水功能区划方案及结果</w:t>
      </w:r>
      <w:bookmarkEnd w:id="34"/>
    </w:p>
    <w:p>
      <w:pPr>
        <w:adjustRightInd w:val="0"/>
        <w:snapToGrid w:val="0"/>
        <w:spacing w:line="560" w:lineRule="exact"/>
        <w:ind w:firstLine="643" w:firstLineChars="200"/>
        <w:outlineLvl w:val="1"/>
        <w:rPr>
          <w:rFonts w:hint="default" w:ascii="Times New Roman" w:hAnsi="Times New Roman" w:eastAsia="仿宋" w:cs="Times New Roman"/>
          <w:sz w:val="32"/>
          <w:szCs w:val="32"/>
        </w:rPr>
      </w:pPr>
      <w:bookmarkStart w:id="35" w:name="_Toc153706329"/>
      <w:r>
        <w:rPr>
          <w:rFonts w:hint="default" w:ascii="Times New Roman" w:hAnsi="Times New Roman" w:eastAsia="仿宋" w:cs="Times New Roman"/>
          <w:b/>
          <w:sz w:val="32"/>
          <w:szCs w:val="32"/>
        </w:rPr>
        <w:t>（一）区划方法</w:t>
      </w:r>
      <w:bookmarkEnd w:id="35"/>
    </w:p>
    <w:p>
      <w:pPr>
        <w:spacing w:line="560" w:lineRule="exact"/>
        <w:ind w:firstLine="600" w:firstLineChars="200"/>
        <w:rPr>
          <w:rFonts w:hint="default" w:ascii="Times New Roman" w:hAnsi="Times New Roman" w:eastAsia="仿宋" w:cs="Times New Roman"/>
          <w:kern w:val="0"/>
          <w:sz w:val="30"/>
          <w:szCs w:val="30"/>
        </w:rPr>
      </w:pPr>
      <w:r>
        <w:rPr>
          <w:rFonts w:hint="default" w:ascii="Times New Roman" w:hAnsi="Times New Roman" w:eastAsia="仿宋" w:cs="Times New Roman"/>
          <w:kern w:val="0"/>
          <w:sz w:val="30"/>
          <w:szCs w:val="30"/>
        </w:rPr>
        <w:t>根据水功能区划分标准（GB50594-2010）、策勒县河道岸线保护与利用规划、和田地区“三线一单”生态环境分区管控方案和水质现状评估结果，因地制宜、实事求是地划分策勒县水功能区。</w:t>
      </w:r>
    </w:p>
    <w:p>
      <w:pPr>
        <w:spacing w:line="560" w:lineRule="exact"/>
        <w:ind w:firstLine="602" w:firstLineChars="200"/>
        <w:rPr>
          <w:rFonts w:hint="default" w:ascii="Times New Roman" w:hAnsi="Times New Roman" w:eastAsia="仿宋" w:cs="Times New Roman"/>
          <w:b/>
          <w:sz w:val="30"/>
          <w:szCs w:val="30"/>
        </w:rPr>
      </w:pPr>
      <w:r>
        <w:rPr>
          <w:rFonts w:hint="default" w:ascii="Times New Roman" w:hAnsi="Times New Roman" w:eastAsia="仿宋" w:cs="Times New Roman"/>
          <w:b/>
          <w:sz w:val="30"/>
          <w:szCs w:val="30"/>
        </w:rPr>
        <w:t>1、确定区划对象</w:t>
      </w:r>
    </w:p>
    <w:p>
      <w:pPr>
        <w:spacing w:line="560" w:lineRule="exact"/>
        <w:ind w:firstLine="600" w:firstLineChars="200"/>
        <w:rPr>
          <w:rFonts w:hint="default" w:ascii="Times New Roman" w:hAnsi="Times New Roman" w:eastAsia="仿宋" w:cs="Times New Roman"/>
          <w:kern w:val="0"/>
          <w:sz w:val="30"/>
          <w:szCs w:val="30"/>
        </w:rPr>
      </w:pPr>
      <w:r>
        <w:rPr>
          <w:rFonts w:hint="default" w:ascii="Times New Roman" w:hAnsi="Times New Roman" w:eastAsia="仿宋" w:cs="Times New Roman"/>
          <w:kern w:val="0"/>
          <w:sz w:val="30"/>
          <w:szCs w:val="30"/>
        </w:rPr>
        <w:t>在参考原自治区水功能区划、水环境功能区划的基础上，结合策勒县河道岸线保护与利用规划、天地图水系分布等数据，扩大区划范围，增加区划对象。此次区划对象为33条河流、1条渠道、9个水库。</w:t>
      </w:r>
    </w:p>
    <w:p>
      <w:pPr>
        <w:spacing w:line="560" w:lineRule="exact"/>
        <w:ind w:firstLine="602" w:firstLineChars="200"/>
        <w:rPr>
          <w:rFonts w:hint="default" w:ascii="Times New Roman" w:hAnsi="Times New Roman" w:eastAsia="仿宋" w:cs="Times New Roman"/>
          <w:b/>
          <w:sz w:val="30"/>
          <w:szCs w:val="30"/>
        </w:rPr>
      </w:pPr>
      <w:r>
        <w:rPr>
          <w:rFonts w:hint="default" w:ascii="Times New Roman" w:hAnsi="Times New Roman" w:eastAsia="仿宋" w:cs="Times New Roman"/>
          <w:b/>
          <w:sz w:val="30"/>
          <w:szCs w:val="30"/>
        </w:rPr>
        <w:t>2、建立水体数据库（图层和数据表）</w:t>
      </w:r>
    </w:p>
    <w:p>
      <w:pPr>
        <w:spacing w:line="560" w:lineRule="exact"/>
        <w:ind w:firstLine="600" w:firstLineChars="200"/>
        <w:rPr>
          <w:rFonts w:hint="default" w:ascii="Times New Roman" w:hAnsi="Times New Roman" w:eastAsia="仿宋" w:cs="Times New Roman"/>
          <w:kern w:val="0"/>
          <w:sz w:val="30"/>
          <w:szCs w:val="30"/>
        </w:rPr>
      </w:pPr>
      <w:r>
        <w:rPr>
          <w:rFonts w:hint="default" w:ascii="Times New Roman" w:hAnsi="Times New Roman" w:eastAsia="仿宋" w:cs="Times New Roman"/>
          <w:kern w:val="0"/>
          <w:sz w:val="30"/>
          <w:szCs w:val="30"/>
        </w:rPr>
        <w:t xml:space="preserve">依据新疆水功能区划、2002年版的《中国新疆水功能区划》、策勒县河道岸线保护与利用规划以及天地图水系分布等数据，确定区划水体对象，并对其划线成图和信息录入成表。对水体图层进行基本水文关系修正，明确河流源头、干流、支流、汇合口等信息，并保证水体之间基本水文关联的正确。同时对河流、水库进行分级并核准水体名称。 </w:t>
      </w:r>
    </w:p>
    <w:p>
      <w:pPr>
        <w:spacing w:line="560" w:lineRule="exact"/>
        <w:ind w:firstLine="602" w:firstLineChars="200"/>
        <w:rPr>
          <w:rFonts w:hint="default" w:ascii="Times New Roman" w:hAnsi="Times New Roman" w:eastAsia="仿宋" w:cs="Times New Roman"/>
          <w:kern w:val="0"/>
          <w:sz w:val="30"/>
          <w:szCs w:val="30"/>
        </w:rPr>
      </w:pPr>
      <w:r>
        <w:rPr>
          <w:rFonts w:hint="default" w:ascii="Times New Roman" w:hAnsi="Times New Roman" w:eastAsia="仿宋" w:cs="Times New Roman"/>
          <w:b/>
          <w:sz w:val="30"/>
          <w:szCs w:val="30"/>
        </w:rPr>
        <w:t>3、确定水功能区类型及水质目标</w:t>
      </w:r>
    </w:p>
    <w:p>
      <w:pPr>
        <w:spacing w:line="560" w:lineRule="exact"/>
        <w:ind w:firstLine="600" w:firstLineChars="200"/>
        <w:rPr>
          <w:rFonts w:hint="default" w:ascii="Times New Roman" w:hAnsi="Times New Roman" w:eastAsia="仿宋" w:cs="Times New Roman"/>
          <w:kern w:val="0"/>
          <w:sz w:val="30"/>
          <w:szCs w:val="30"/>
        </w:rPr>
      </w:pPr>
      <w:r>
        <w:rPr>
          <w:rFonts w:hint="default" w:ascii="Times New Roman" w:hAnsi="Times New Roman" w:eastAsia="仿宋" w:cs="Times New Roman"/>
          <w:kern w:val="0"/>
          <w:sz w:val="30"/>
          <w:szCs w:val="30"/>
        </w:rPr>
        <w:t>以水功能区划分标准（GB50594-2010）、《地表水环境质量标准》（GB3838—2002）及《地表水功能区类别代码》（HJ522—2009）为标准，将生态保护红线、和田地区“三线一单”生态环境分区管控、“</w:t>
      </w:r>
      <w:bookmarkStart w:id="36" w:name="_Hlk153674241"/>
      <w:r>
        <w:rPr>
          <w:rFonts w:hint="default" w:ascii="Times New Roman" w:hAnsi="Times New Roman" w:eastAsia="仿宋" w:cs="Times New Roman"/>
          <w:kern w:val="0"/>
          <w:sz w:val="30"/>
          <w:szCs w:val="30"/>
        </w:rPr>
        <w:t>新疆维吾尔自治区水功能区划</w:t>
      </w:r>
      <w:bookmarkEnd w:id="36"/>
      <w:r>
        <w:rPr>
          <w:rFonts w:hint="default" w:ascii="Times New Roman" w:hAnsi="Times New Roman" w:eastAsia="仿宋" w:cs="Times New Roman"/>
          <w:kern w:val="0"/>
          <w:sz w:val="30"/>
          <w:szCs w:val="30"/>
        </w:rPr>
        <w:t>”、“中国新疆水环境功能区划”、“策勒县城镇集中式饮用水水源保护区划方案”、“国家级自然保护地”、“自治区级自然保护区”与区划水体进行空间分析，并充分考虑不同行业及上下游行政主管部门对水体现状使用功能、规划主导功能的意见，确定水体功能区类型并确定水质目标。</w:t>
      </w:r>
    </w:p>
    <w:p>
      <w:pPr>
        <w:spacing w:line="560" w:lineRule="exact"/>
        <w:ind w:firstLine="600" w:firstLineChars="200"/>
        <w:rPr>
          <w:rFonts w:hint="eastAsia" w:ascii="仿宋" w:hAnsi="仿宋" w:eastAsia="仿宋" w:cs="仿宋"/>
          <w:kern w:val="0"/>
          <w:sz w:val="30"/>
          <w:szCs w:val="30"/>
        </w:rPr>
      </w:pPr>
      <w:r>
        <w:rPr>
          <w:rFonts w:hint="default" w:ascii="Times New Roman" w:hAnsi="Times New Roman" w:eastAsia="仿宋" w:cs="Times New Roman"/>
          <w:kern w:val="0"/>
          <w:sz w:val="30"/>
          <w:szCs w:val="30"/>
        </w:rPr>
        <w:t>对有监测资料的水体，通过评价其水质现状，结合现状使用功能，按照区划原则、依据来划分功能区类型；对无监测资料的</w:t>
      </w:r>
      <w:r>
        <w:rPr>
          <w:rFonts w:hint="eastAsia" w:ascii="仿宋" w:hAnsi="仿宋" w:eastAsia="仿宋" w:cs="仿宋"/>
          <w:kern w:val="0"/>
          <w:sz w:val="30"/>
          <w:szCs w:val="30"/>
        </w:rPr>
        <w:t>水体，按其现状使用功能并遵循“高功能水域高标准保护原则”划分功能区类型。</w:t>
      </w:r>
    </w:p>
    <w:p>
      <w:pPr>
        <w:adjustRightInd w:val="0"/>
        <w:snapToGrid w:val="0"/>
        <w:spacing w:line="560" w:lineRule="exact"/>
        <w:ind w:firstLine="643" w:firstLineChars="200"/>
        <w:outlineLvl w:val="1"/>
        <w:rPr>
          <w:rFonts w:hint="eastAsia" w:ascii="仿宋" w:hAnsi="仿宋" w:eastAsia="仿宋" w:cs="仿宋"/>
          <w:sz w:val="32"/>
          <w:szCs w:val="32"/>
        </w:rPr>
      </w:pPr>
      <w:bookmarkStart w:id="37" w:name="_Toc153706330"/>
      <w:bookmarkStart w:id="38" w:name="_Toc68713484"/>
      <w:r>
        <w:rPr>
          <w:rFonts w:hint="eastAsia" w:ascii="仿宋" w:hAnsi="仿宋" w:eastAsia="仿宋" w:cs="仿宋"/>
          <w:b/>
          <w:sz w:val="32"/>
          <w:szCs w:val="32"/>
        </w:rPr>
        <w:t>（二）区划结果</w:t>
      </w:r>
      <w:bookmarkEnd w:id="37"/>
      <w:bookmarkEnd w:id="38"/>
    </w:p>
    <w:p>
      <w:pPr>
        <w:ind w:firstLine="600" w:firstLineChars="200"/>
        <w:rPr>
          <w:rFonts w:hint="eastAsia" w:ascii="仿宋" w:hAnsi="仿宋" w:eastAsia="仿宋" w:cs="仿宋"/>
          <w:sz w:val="30"/>
          <w:szCs w:val="30"/>
        </w:rPr>
      </w:pPr>
      <w:r>
        <w:rPr>
          <w:rFonts w:hint="eastAsia" w:ascii="仿宋" w:hAnsi="仿宋" w:eastAsia="仿宋" w:cs="仿宋"/>
          <w:sz w:val="30"/>
          <w:szCs w:val="30"/>
        </w:rPr>
        <w:t>区划对象为策勒县区域内的</w:t>
      </w:r>
      <w:r>
        <w:rPr>
          <w:rFonts w:hint="eastAsia" w:ascii="仿宋" w:hAnsi="仿宋" w:eastAsia="仿宋" w:cs="仿宋"/>
          <w:kern w:val="0"/>
          <w:sz w:val="30"/>
          <w:szCs w:val="30"/>
        </w:rPr>
        <w:t>33条河流、1条渠道、9个水库</w:t>
      </w:r>
      <w:r>
        <w:rPr>
          <w:rFonts w:hint="eastAsia" w:ascii="仿宋" w:hAnsi="仿宋" w:eastAsia="仿宋" w:cs="仿宋"/>
          <w:sz w:val="30"/>
          <w:szCs w:val="30"/>
        </w:rPr>
        <w:t>，共划定了79个功能区，70条河流功能区，9座水库功能区（附图1）。区划范围覆盖了整个策勒县。</w:t>
      </w:r>
    </w:p>
    <w:p>
      <w:pPr>
        <w:spacing w:line="560" w:lineRule="exact"/>
        <w:ind w:firstLine="602" w:firstLineChars="200"/>
        <w:rPr>
          <w:rFonts w:ascii="Times New Roman" w:hAnsi="Times New Roman" w:eastAsia="仿宋_GB2312" w:cs="Times New Roman"/>
          <w:kern w:val="0"/>
          <w:sz w:val="30"/>
          <w:szCs w:val="30"/>
        </w:rPr>
      </w:pPr>
      <w:r>
        <w:rPr>
          <w:rFonts w:ascii="Times New Roman" w:hAnsi="Times New Roman" w:eastAsia="仿宋" w:cs="Times New Roman"/>
          <w:b/>
          <w:sz w:val="30"/>
          <w:szCs w:val="30"/>
        </w:rPr>
        <w:t>1、</w:t>
      </w:r>
      <w:r>
        <w:rPr>
          <w:rFonts w:hint="eastAsia" w:ascii="Times New Roman" w:hAnsi="Times New Roman" w:eastAsia="仿宋" w:cs="Times New Roman"/>
          <w:b/>
          <w:sz w:val="30"/>
          <w:szCs w:val="30"/>
        </w:rPr>
        <w:t>一级水功能区</w:t>
      </w:r>
    </w:p>
    <w:p>
      <w:pPr>
        <w:spacing w:line="560" w:lineRule="exact"/>
        <w:ind w:firstLine="600" w:firstLineChars="200"/>
        <w:rPr>
          <w:rFonts w:ascii="仿宋" w:hAnsi="仿宋" w:eastAsia="仿宋"/>
          <w:sz w:val="30"/>
          <w:szCs w:val="30"/>
        </w:rPr>
      </w:pPr>
      <w:r>
        <w:rPr>
          <w:rFonts w:hint="eastAsia" w:ascii="仿宋" w:hAnsi="仿宋" w:eastAsia="仿宋"/>
          <w:sz w:val="30"/>
          <w:szCs w:val="30"/>
        </w:rPr>
        <w:t>本次区划共划分水功能一级区</w:t>
      </w:r>
      <w:r>
        <w:rPr>
          <w:rFonts w:ascii="仿宋" w:hAnsi="仿宋" w:eastAsia="仿宋"/>
          <w:sz w:val="30"/>
          <w:szCs w:val="30"/>
        </w:rPr>
        <w:t>79</w:t>
      </w:r>
      <w:r>
        <w:rPr>
          <w:rFonts w:hint="eastAsia" w:ascii="仿宋" w:hAnsi="仿宋" w:eastAsia="仿宋"/>
          <w:sz w:val="30"/>
          <w:szCs w:val="30"/>
        </w:rPr>
        <w:t>个，其中河流功能区7</w:t>
      </w:r>
      <w:r>
        <w:rPr>
          <w:rFonts w:ascii="仿宋" w:hAnsi="仿宋" w:eastAsia="仿宋"/>
          <w:sz w:val="30"/>
          <w:szCs w:val="30"/>
        </w:rPr>
        <w:t>0</w:t>
      </w:r>
      <w:r>
        <w:rPr>
          <w:rFonts w:hint="eastAsia" w:ascii="仿宋" w:hAnsi="仿宋" w:eastAsia="仿宋"/>
          <w:sz w:val="30"/>
          <w:szCs w:val="30"/>
        </w:rPr>
        <w:t>个，水库功能区9个，总规划河长为</w:t>
      </w:r>
      <w:r>
        <w:rPr>
          <w:rFonts w:ascii="仿宋" w:hAnsi="仿宋" w:eastAsia="仿宋"/>
          <w:sz w:val="30"/>
          <w:szCs w:val="30"/>
        </w:rPr>
        <w:t>1647.85</w:t>
      </w:r>
      <w:r>
        <w:rPr>
          <w:rFonts w:hint="eastAsia" w:ascii="仿宋" w:hAnsi="仿宋" w:eastAsia="仿宋"/>
          <w:sz w:val="30"/>
          <w:szCs w:val="30"/>
        </w:rPr>
        <w:t>公里，水库水面面积</w:t>
      </w:r>
      <w:r>
        <w:rPr>
          <w:rFonts w:ascii="仿宋" w:hAnsi="仿宋" w:eastAsia="仿宋"/>
          <w:sz w:val="30"/>
          <w:szCs w:val="30"/>
        </w:rPr>
        <w:t>12.13</w:t>
      </w:r>
      <w:r>
        <w:rPr>
          <w:rFonts w:hint="eastAsia" w:ascii="仿宋" w:hAnsi="仿宋" w:eastAsia="仿宋"/>
          <w:sz w:val="30"/>
          <w:szCs w:val="30"/>
        </w:rPr>
        <w:t>平方公里。</w:t>
      </w:r>
    </w:p>
    <w:p>
      <w:pPr>
        <w:spacing w:line="560" w:lineRule="exact"/>
        <w:ind w:firstLine="600" w:firstLineChars="200"/>
        <w:rPr>
          <w:rFonts w:ascii="仿宋" w:hAnsi="仿宋" w:eastAsia="仿宋"/>
          <w:sz w:val="30"/>
          <w:szCs w:val="30"/>
        </w:rPr>
      </w:pPr>
      <w:r>
        <w:rPr>
          <w:rFonts w:hint="eastAsia" w:ascii="仿宋" w:hAnsi="仿宋" w:eastAsia="仿宋"/>
          <w:sz w:val="30"/>
          <w:szCs w:val="30"/>
        </w:rPr>
        <w:t>7</w:t>
      </w:r>
      <w:r>
        <w:rPr>
          <w:rFonts w:ascii="仿宋" w:hAnsi="仿宋" w:eastAsia="仿宋"/>
          <w:sz w:val="30"/>
          <w:szCs w:val="30"/>
        </w:rPr>
        <w:t>0</w:t>
      </w:r>
      <w:r>
        <w:rPr>
          <w:rFonts w:hint="eastAsia" w:ascii="仿宋" w:hAnsi="仿宋" w:eastAsia="仿宋"/>
          <w:sz w:val="30"/>
          <w:szCs w:val="30"/>
        </w:rPr>
        <w:t>个河流中保护区</w:t>
      </w:r>
      <w:r>
        <w:rPr>
          <w:rFonts w:ascii="仿宋" w:hAnsi="仿宋" w:eastAsia="仿宋"/>
          <w:sz w:val="30"/>
          <w:szCs w:val="30"/>
        </w:rPr>
        <w:t>38</w:t>
      </w:r>
      <w:r>
        <w:rPr>
          <w:rFonts w:hint="eastAsia" w:ascii="仿宋" w:hAnsi="仿宋" w:eastAsia="仿宋"/>
          <w:sz w:val="30"/>
          <w:szCs w:val="30"/>
        </w:rPr>
        <w:t>个，占河流总数量的5</w:t>
      </w:r>
      <w:r>
        <w:rPr>
          <w:rFonts w:ascii="仿宋" w:hAnsi="仿宋" w:eastAsia="仿宋"/>
          <w:sz w:val="30"/>
          <w:szCs w:val="30"/>
        </w:rPr>
        <w:t>4.29%</w:t>
      </w:r>
      <w:r>
        <w:rPr>
          <w:rFonts w:hint="eastAsia" w:ascii="仿宋" w:hAnsi="仿宋" w:eastAsia="仿宋"/>
          <w:sz w:val="30"/>
          <w:szCs w:val="30"/>
        </w:rPr>
        <w:t>，规划河长</w:t>
      </w:r>
      <w:r>
        <w:rPr>
          <w:rFonts w:ascii="仿宋" w:hAnsi="仿宋" w:eastAsia="仿宋"/>
          <w:sz w:val="30"/>
          <w:szCs w:val="30"/>
        </w:rPr>
        <w:t>859.96</w:t>
      </w:r>
      <w:r>
        <w:rPr>
          <w:rFonts w:hint="eastAsia" w:ascii="仿宋" w:hAnsi="仿宋" w:eastAsia="仿宋"/>
          <w:sz w:val="30"/>
          <w:szCs w:val="30"/>
        </w:rPr>
        <w:t>公里，占总规划河长的</w:t>
      </w:r>
      <w:r>
        <w:rPr>
          <w:rFonts w:ascii="仿宋" w:hAnsi="仿宋" w:eastAsia="仿宋"/>
          <w:sz w:val="30"/>
          <w:szCs w:val="30"/>
        </w:rPr>
        <w:t>52.19</w:t>
      </w:r>
      <w:r>
        <w:rPr>
          <w:rFonts w:hint="eastAsia" w:ascii="仿宋" w:hAnsi="仿宋" w:eastAsia="仿宋"/>
          <w:sz w:val="30"/>
          <w:szCs w:val="30"/>
        </w:rPr>
        <w:t>%；保留区</w:t>
      </w:r>
      <w:r>
        <w:rPr>
          <w:rFonts w:ascii="仿宋" w:hAnsi="仿宋" w:eastAsia="仿宋"/>
          <w:sz w:val="30"/>
          <w:szCs w:val="30"/>
        </w:rPr>
        <w:t>11</w:t>
      </w:r>
      <w:r>
        <w:rPr>
          <w:rFonts w:hint="eastAsia" w:ascii="仿宋" w:hAnsi="仿宋" w:eastAsia="仿宋"/>
          <w:sz w:val="30"/>
          <w:szCs w:val="30"/>
        </w:rPr>
        <w:t>个，占河流总数量的</w:t>
      </w:r>
      <w:r>
        <w:rPr>
          <w:rFonts w:ascii="仿宋" w:hAnsi="仿宋" w:eastAsia="仿宋"/>
          <w:sz w:val="30"/>
          <w:szCs w:val="30"/>
        </w:rPr>
        <w:t>15.71%</w:t>
      </w:r>
      <w:r>
        <w:rPr>
          <w:rFonts w:hint="eastAsia" w:ascii="仿宋" w:hAnsi="仿宋" w:eastAsia="仿宋"/>
          <w:sz w:val="30"/>
          <w:szCs w:val="30"/>
        </w:rPr>
        <w:t>，规划河长</w:t>
      </w:r>
      <w:r>
        <w:rPr>
          <w:rFonts w:ascii="仿宋" w:hAnsi="仿宋" w:eastAsia="仿宋"/>
          <w:sz w:val="30"/>
          <w:szCs w:val="30"/>
        </w:rPr>
        <w:t>350.87</w:t>
      </w:r>
      <w:r>
        <w:rPr>
          <w:rFonts w:hint="eastAsia" w:ascii="仿宋" w:hAnsi="仿宋" w:eastAsia="仿宋"/>
          <w:sz w:val="30"/>
          <w:szCs w:val="30"/>
        </w:rPr>
        <w:t>公里，占总规划河长的</w:t>
      </w:r>
      <w:r>
        <w:rPr>
          <w:rFonts w:ascii="仿宋" w:hAnsi="仿宋" w:eastAsia="仿宋"/>
          <w:sz w:val="30"/>
          <w:szCs w:val="30"/>
        </w:rPr>
        <w:t>21.29</w:t>
      </w:r>
      <w:r>
        <w:rPr>
          <w:rFonts w:hint="eastAsia" w:ascii="仿宋" w:hAnsi="仿宋" w:eastAsia="仿宋"/>
          <w:sz w:val="30"/>
          <w:szCs w:val="30"/>
        </w:rPr>
        <w:t>%；开发利用区</w:t>
      </w:r>
      <w:r>
        <w:rPr>
          <w:rFonts w:ascii="仿宋" w:hAnsi="仿宋" w:eastAsia="仿宋"/>
          <w:sz w:val="30"/>
          <w:szCs w:val="30"/>
        </w:rPr>
        <w:t>21</w:t>
      </w:r>
      <w:r>
        <w:rPr>
          <w:rFonts w:hint="eastAsia" w:ascii="仿宋" w:hAnsi="仿宋" w:eastAsia="仿宋"/>
          <w:sz w:val="30"/>
          <w:szCs w:val="30"/>
        </w:rPr>
        <w:t>个，占河流总数量的</w:t>
      </w:r>
      <w:r>
        <w:rPr>
          <w:rFonts w:ascii="仿宋" w:hAnsi="仿宋" w:eastAsia="仿宋"/>
          <w:sz w:val="30"/>
          <w:szCs w:val="30"/>
        </w:rPr>
        <w:t>30%</w:t>
      </w:r>
      <w:r>
        <w:rPr>
          <w:rFonts w:hint="eastAsia" w:ascii="仿宋" w:hAnsi="仿宋" w:eastAsia="仿宋"/>
          <w:sz w:val="30"/>
          <w:szCs w:val="30"/>
        </w:rPr>
        <w:t>，规划河长</w:t>
      </w:r>
      <w:r>
        <w:rPr>
          <w:rFonts w:ascii="仿宋" w:hAnsi="仿宋" w:eastAsia="仿宋"/>
          <w:sz w:val="30"/>
          <w:szCs w:val="30"/>
        </w:rPr>
        <w:t>437.02</w:t>
      </w:r>
      <w:r>
        <w:rPr>
          <w:rFonts w:hint="eastAsia" w:ascii="仿宋" w:hAnsi="仿宋" w:eastAsia="仿宋"/>
          <w:sz w:val="30"/>
          <w:szCs w:val="30"/>
        </w:rPr>
        <w:t>公里，占总规划河长的</w:t>
      </w:r>
      <w:r>
        <w:rPr>
          <w:rFonts w:ascii="仿宋" w:hAnsi="仿宋" w:eastAsia="仿宋"/>
          <w:sz w:val="30"/>
          <w:szCs w:val="30"/>
        </w:rPr>
        <w:t>26.52</w:t>
      </w:r>
      <w:r>
        <w:rPr>
          <w:rFonts w:hint="eastAsia" w:ascii="仿宋" w:hAnsi="仿宋" w:eastAsia="仿宋"/>
          <w:sz w:val="30"/>
          <w:szCs w:val="30"/>
        </w:rPr>
        <w:t>%。</w:t>
      </w:r>
    </w:p>
    <w:p>
      <w:pPr>
        <w:spacing w:line="560" w:lineRule="exact"/>
        <w:ind w:firstLine="600" w:firstLineChars="200"/>
        <w:rPr>
          <w:rFonts w:ascii="仿宋" w:hAnsi="仿宋" w:eastAsia="仿宋"/>
          <w:sz w:val="30"/>
          <w:szCs w:val="30"/>
        </w:rPr>
      </w:pPr>
      <w:r>
        <w:rPr>
          <w:rFonts w:ascii="仿宋" w:hAnsi="仿宋" w:eastAsia="仿宋"/>
          <w:sz w:val="30"/>
          <w:szCs w:val="30"/>
        </w:rPr>
        <w:t>9</w:t>
      </w:r>
      <w:r>
        <w:rPr>
          <w:rFonts w:hint="eastAsia" w:ascii="仿宋" w:hAnsi="仿宋" w:eastAsia="仿宋"/>
          <w:sz w:val="30"/>
          <w:szCs w:val="30"/>
        </w:rPr>
        <w:t>座水库中保护区</w:t>
      </w:r>
      <w:r>
        <w:rPr>
          <w:rFonts w:ascii="仿宋" w:hAnsi="仿宋" w:eastAsia="仿宋"/>
          <w:sz w:val="30"/>
          <w:szCs w:val="30"/>
        </w:rPr>
        <w:t>1</w:t>
      </w:r>
      <w:r>
        <w:rPr>
          <w:rFonts w:hint="eastAsia" w:ascii="仿宋" w:hAnsi="仿宋" w:eastAsia="仿宋"/>
          <w:sz w:val="30"/>
          <w:szCs w:val="30"/>
        </w:rPr>
        <w:t>个，占水库总数量的</w:t>
      </w:r>
      <w:r>
        <w:rPr>
          <w:rFonts w:ascii="仿宋" w:hAnsi="仿宋" w:eastAsia="仿宋"/>
          <w:sz w:val="30"/>
          <w:szCs w:val="30"/>
        </w:rPr>
        <w:t>11.11%</w:t>
      </w:r>
      <w:r>
        <w:rPr>
          <w:rFonts w:hint="eastAsia" w:ascii="仿宋" w:hAnsi="仿宋" w:eastAsia="仿宋"/>
          <w:sz w:val="30"/>
          <w:szCs w:val="30"/>
        </w:rPr>
        <w:t>，水面面积</w:t>
      </w:r>
      <w:r>
        <w:rPr>
          <w:rFonts w:ascii="仿宋" w:hAnsi="仿宋" w:eastAsia="仿宋"/>
          <w:sz w:val="30"/>
          <w:szCs w:val="30"/>
        </w:rPr>
        <w:t>3.92</w:t>
      </w:r>
      <w:r>
        <w:rPr>
          <w:rFonts w:hint="eastAsia" w:ascii="仿宋" w:hAnsi="仿宋" w:eastAsia="仿宋"/>
          <w:sz w:val="30"/>
          <w:szCs w:val="30"/>
        </w:rPr>
        <w:t>平方公里，占总水库面积的</w:t>
      </w:r>
      <w:r>
        <w:rPr>
          <w:rFonts w:ascii="仿宋" w:hAnsi="仿宋" w:eastAsia="仿宋"/>
          <w:sz w:val="30"/>
          <w:szCs w:val="30"/>
        </w:rPr>
        <w:t>32.33</w:t>
      </w:r>
      <w:r>
        <w:rPr>
          <w:rFonts w:hint="eastAsia" w:ascii="仿宋" w:hAnsi="仿宋" w:eastAsia="仿宋"/>
          <w:sz w:val="30"/>
          <w:szCs w:val="30"/>
        </w:rPr>
        <w:t>%；开发利用区</w:t>
      </w:r>
      <w:r>
        <w:rPr>
          <w:rFonts w:ascii="仿宋" w:hAnsi="仿宋" w:eastAsia="仿宋"/>
          <w:sz w:val="30"/>
          <w:szCs w:val="30"/>
        </w:rPr>
        <w:t>8</w:t>
      </w:r>
      <w:r>
        <w:rPr>
          <w:rFonts w:hint="eastAsia" w:ascii="仿宋" w:hAnsi="仿宋" w:eastAsia="仿宋"/>
          <w:sz w:val="30"/>
          <w:szCs w:val="30"/>
        </w:rPr>
        <w:t>个，占水库总数量的</w:t>
      </w:r>
      <w:r>
        <w:rPr>
          <w:rFonts w:ascii="仿宋" w:hAnsi="仿宋" w:eastAsia="仿宋"/>
          <w:sz w:val="30"/>
          <w:szCs w:val="30"/>
        </w:rPr>
        <w:t>88.89%</w:t>
      </w:r>
      <w:r>
        <w:rPr>
          <w:rFonts w:hint="eastAsia" w:ascii="仿宋" w:hAnsi="仿宋" w:eastAsia="仿宋"/>
          <w:sz w:val="30"/>
          <w:szCs w:val="30"/>
        </w:rPr>
        <w:t>，水面面积</w:t>
      </w:r>
      <w:r>
        <w:rPr>
          <w:rFonts w:ascii="仿宋" w:hAnsi="仿宋" w:eastAsia="仿宋"/>
          <w:sz w:val="30"/>
          <w:szCs w:val="30"/>
        </w:rPr>
        <w:t>12.13</w:t>
      </w:r>
      <w:r>
        <w:rPr>
          <w:rFonts w:hint="eastAsia" w:ascii="仿宋" w:hAnsi="仿宋" w:eastAsia="仿宋"/>
          <w:sz w:val="30"/>
          <w:szCs w:val="30"/>
        </w:rPr>
        <w:t>平方公里，占总水库面积的</w:t>
      </w:r>
      <w:r>
        <w:rPr>
          <w:rFonts w:ascii="仿宋" w:hAnsi="仿宋" w:eastAsia="仿宋"/>
          <w:sz w:val="30"/>
          <w:szCs w:val="30"/>
        </w:rPr>
        <w:t>67.67</w:t>
      </w:r>
      <w:r>
        <w:rPr>
          <w:rFonts w:hint="eastAsia" w:ascii="仿宋" w:hAnsi="仿宋" w:eastAsia="仿宋"/>
          <w:sz w:val="30"/>
          <w:szCs w:val="30"/>
        </w:rPr>
        <w:t>%。</w:t>
      </w:r>
    </w:p>
    <w:p>
      <w:pPr>
        <w:spacing w:line="560" w:lineRule="exact"/>
        <w:ind w:firstLine="600" w:firstLineChars="200"/>
        <w:rPr>
          <w:rFonts w:ascii="仿宋" w:hAnsi="仿宋" w:eastAsia="仿宋"/>
          <w:sz w:val="30"/>
          <w:szCs w:val="30"/>
        </w:rPr>
      </w:pPr>
      <w:r>
        <w:rPr>
          <w:rFonts w:hint="eastAsia" w:ascii="仿宋" w:hAnsi="仿宋" w:eastAsia="仿宋"/>
          <w:sz w:val="30"/>
          <w:szCs w:val="30"/>
        </w:rPr>
        <w:t>策勒县水功能区区划成果见附表，河流一级功能区统计结果见表4</w:t>
      </w:r>
      <w:r>
        <w:rPr>
          <w:rFonts w:ascii="仿宋" w:hAnsi="仿宋" w:eastAsia="仿宋"/>
          <w:sz w:val="30"/>
          <w:szCs w:val="30"/>
        </w:rPr>
        <w:t>-1</w:t>
      </w:r>
      <w:r>
        <w:rPr>
          <w:rFonts w:hint="eastAsia" w:ascii="仿宋" w:hAnsi="仿宋" w:eastAsia="仿宋"/>
          <w:sz w:val="30"/>
          <w:szCs w:val="30"/>
        </w:rPr>
        <w:t>，水库一级功能区统计结果见表4</w:t>
      </w:r>
      <w:r>
        <w:rPr>
          <w:rFonts w:ascii="仿宋" w:hAnsi="仿宋" w:eastAsia="仿宋"/>
          <w:sz w:val="30"/>
          <w:szCs w:val="30"/>
        </w:rPr>
        <w:t>-2</w:t>
      </w:r>
      <w:r>
        <w:rPr>
          <w:rFonts w:hint="eastAsia" w:ascii="仿宋" w:hAnsi="仿宋" w:eastAsia="仿宋"/>
          <w:sz w:val="30"/>
          <w:szCs w:val="30"/>
        </w:rPr>
        <w:t>。</w:t>
      </w:r>
    </w:p>
    <w:p>
      <w:pPr>
        <w:jc w:val="center"/>
        <w:rPr>
          <w:rFonts w:hint="eastAsia" w:ascii="仿宋" w:hAnsi="仿宋" w:eastAsia="仿宋" w:cs="仿宋"/>
          <w:b/>
          <w:sz w:val="32"/>
          <w:szCs w:val="32"/>
        </w:rPr>
      </w:pPr>
      <w:r>
        <w:rPr>
          <w:rFonts w:hint="eastAsia" w:ascii="仿宋" w:hAnsi="仿宋" w:eastAsia="仿宋" w:cs="仿宋"/>
          <w:sz w:val="28"/>
          <w:szCs w:val="28"/>
        </w:rPr>
        <w:t>表4-1 策勒县河流一级水功能区划统计表</w:t>
      </w:r>
    </w:p>
    <w:tbl>
      <w:tblPr>
        <w:tblStyle w:val="14"/>
        <w:tblW w:w="8522" w:type="dxa"/>
        <w:tblInd w:w="0" w:type="dxa"/>
        <w:tblLayout w:type="fixed"/>
        <w:tblCellMar>
          <w:top w:w="0" w:type="dxa"/>
          <w:left w:w="108" w:type="dxa"/>
          <w:bottom w:w="0" w:type="dxa"/>
          <w:right w:w="108" w:type="dxa"/>
        </w:tblCellMar>
      </w:tblPr>
      <w:tblGrid>
        <w:gridCol w:w="1899"/>
        <w:gridCol w:w="1638"/>
        <w:gridCol w:w="1439"/>
        <w:gridCol w:w="1888"/>
        <w:gridCol w:w="1658"/>
      </w:tblGrid>
      <w:tr>
        <w:tblPrEx>
          <w:tblLayout w:type="fixed"/>
          <w:tblCellMar>
            <w:top w:w="0" w:type="dxa"/>
            <w:left w:w="108" w:type="dxa"/>
            <w:bottom w:w="0" w:type="dxa"/>
            <w:right w:w="108" w:type="dxa"/>
          </w:tblCellMar>
        </w:tblPrEx>
        <w:trPr>
          <w:trHeight w:val="312" w:hRule="atLeast"/>
        </w:trPr>
        <w:tc>
          <w:tcPr>
            <w:tcW w:w="1899"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一级功能区</w:t>
            </w:r>
          </w:p>
        </w:tc>
        <w:tc>
          <w:tcPr>
            <w:tcW w:w="307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功能区数量</w:t>
            </w:r>
          </w:p>
        </w:tc>
        <w:tc>
          <w:tcPr>
            <w:tcW w:w="354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长度统计</w:t>
            </w:r>
          </w:p>
        </w:tc>
      </w:tr>
      <w:tr>
        <w:tblPrEx>
          <w:tblLayout w:type="fixed"/>
          <w:tblCellMar>
            <w:top w:w="0" w:type="dxa"/>
            <w:left w:w="108" w:type="dxa"/>
            <w:bottom w:w="0" w:type="dxa"/>
            <w:right w:w="108" w:type="dxa"/>
          </w:tblCellMar>
        </w:tblPrEx>
        <w:trPr>
          <w:trHeight w:val="312" w:hRule="atLeast"/>
        </w:trPr>
        <w:tc>
          <w:tcPr>
            <w:tcW w:w="1899"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hint="eastAsia" w:ascii="仿宋" w:hAnsi="仿宋" w:eastAsia="仿宋" w:cs="仿宋"/>
                <w:color w:val="000000"/>
                <w:kern w:val="0"/>
                <w:sz w:val="24"/>
                <w:szCs w:val="24"/>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个数(个)</w:t>
            </w:r>
          </w:p>
        </w:tc>
        <w:tc>
          <w:tcPr>
            <w:tcW w:w="14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占比(%)</w:t>
            </w:r>
          </w:p>
        </w:tc>
        <w:tc>
          <w:tcPr>
            <w:tcW w:w="1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长度(km)</w:t>
            </w:r>
          </w:p>
        </w:tc>
        <w:tc>
          <w:tcPr>
            <w:tcW w:w="1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占比(%)</w:t>
            </w:r>
          </w:p>
        </w:tc>
      </w:tr>
      <w:tr>
        <w:tblPrEx>
          <w:tblLayout w:type="fixed"/>
          <w:tblCellMar>
            <w:top w:w="0" w:type="dxa"/>
            <w:left w:w="108" w:type="dxa"/>
            <w:bottom w:w="0" w:type="dxa"/>
            <w:right w:w="108" w:type="dxa"/>
          </w:tblCellMar>
        </w:tblPrEx>
        <w:trPr>
          <w:trHeight w:val="312" w:hRule="atLeast"/>
        </w:trPr>
        <w:tc>
          <w:tcPr>
            <w:tcW w:w="18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保护区</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38</w:t>
            </w:r>
          </w:p>
        </w:tc>
        <w:tc>
          <w:tcPr>
            <w:tcW w:w="14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 xml:space="preserve">54.29 </w:t>
            </w:r>
          </w:p>
        </w:tc>
        <w:tc>
          <w:tcPr>
            <w:tcW w:w="1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 xml:space="preserve">859.96 </w:t>
            </w:r>
          </w:p>
        </w:tc>
        <w:tc>
          <w:tcPr>
            <w:tcW w:w="1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 xml:space="preserve">52.19 </w:t>
            </w:r>
          </w:p>
        </w:tc>
      </w:tr>
      <w:tr>
        <w:tblPrEx>
          <w:tblLayout w:type="fixed"/>
          <w:tblCellMar>
            <w:top w:w="0" w:type="dxa"/>
            <w:left w:w="108" w:type="dxa"/>
            <w:bottom w:w="0" w:type="dxa"/>
            <w:right w:w="108" w:type="dxa"/>
          </w:tblCellMar>
        </w:tblPrEx>
        <w:trPr>
          <w:trHeight w:val="312" w:hRule="atLeast"/>
        </w:trPr>
        <w:tc>
          <w:tcPr>
            <w:tcW w:w="18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保留区</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11</w:t>
            </w:r>
          </w:p>
        </w:tc>
        <w:tc>
          <w:tcPr>
            <w:tcW w:w="14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 xml:space="preserve">15.71 </w:t>
            </w:r>
          </w:p>
        </w:tc>
        <w:tc>
          <w:tcPr>
            <w:tcW w:w="1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 xml:space="preserve">350.87 </w:t>
            </w:r>
          </w:p>
        </w:tc>
        <w:tc>
          <w:tcPr>
            <w:tcW w:w="1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 xml:space="preserve">21.29 </w:t>
            </w:r>
          </w:p>
        </w:tc>
      </w:tr>
      <w:tr>
        <w:tblPrEx>
          <w:tblLayout w:type="fixed"/>
          <w:tblCellMar>
            <w:top w:w="0" w:type="dxa"/>
            <w:left w:w="108" w:type="dxa"/>
            <w:bottom w:w="0" w:type="dxa"/>
            <w:right w:w="108" w:type="dxa"/>
          </w:tblCellMar>
        </w:tblPrEx>
        <w:trPr>
          <w:trHeight w:val="312" w:hRule="atLeast"/>
        </w:trPr>
        <w:tc>
          <w:tcPr>
            <w:tcW w:w="18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开发利用区</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21</w:t>
            </w:r>
          </w:p>
        </w:tc>
        <w:tc>
          <w:tcPr>
            <w:tcW w:w="14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 xml:space="preserve">30.00 </w:t>
            </w:r>
          </w:p>
        </w:tc>
        <w:tc>
          <w:tcPr>
            <w:tcW w:w="1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 xml:space="preserve">437.02 </w:t>
            </w:r>
          </w:p>
        </w:tc>
        <w:tc>
          <w:tcPr>
            <w:tcW w:w="1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 xml:space="preserve">26.52 </w:t>
            </w:r>
          </w:p>
        </w:tc>
      </w:tr>
      <w:tr>
        <w:tblPrEx>
          <w:tblLayout w:type="fixed"/>
          <w:tblCellMar>
            <w:top w:w="0" w:type="dxa"/>
            <w:left w:w="108" w:type="dxa"/>
            <w:bottom w:w="0" w:type="dxa"/>
            <w:right w:w="108" w:type="dxa"/>
          </w:tblCellMar>
        </w:tblPrEx>
        <w:trPr>
          <w:trHeight w:val="312" w:hRule="atLeast"/>
        </w:trPr>
        <w:tc>
          <w:tcPr>
            <w:tcW w:w="18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总计</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70</w:t>
            </w:r>
          </w:p>
        </w:tc>
        <w:tc>
          <w:tcPr>
            <w:tcW w:w="14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 xml:space="preserve">100.00 </w:t>
            </w:r>
          </w:p>
        </w:tc>
        <w:tc>
          <w:tcPr>
            <w:tcW w:w="1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 xml:space="preserve">1647.85 </w:t>
            </w:r>
          </w:p>
        </w:tc>
        <w:tc>
          <w:tcPr>
            <w:tcW w:w="1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 xml:space="preserve">100.00 </w:t>
            </w:r>
          </w:p>
        </w:tc>
      </w:tr>
    </w:tbl>
    <w:p>
      <w:pPr>
        <w:jc w:val="center"/>
        <w:rPr>
          <w:rFonts w:hint="eastAsia" w:ascii="仿宋" w:hAnsi="仿宋" w:eastAsia="仿宋" w:cs="仿宋"/>
          <w:b/>
          <w:sz w:val="32"/>
          <w:szCs w:val="32"/>
        </w:rPr>
      </w:pPr>
      <w:r>
        <w:rPr>
          <w:rFonts w:hint="eastAsia" w:ascii="仿宋" w:hAnsi="仿宋" w:eastAsia="仿宋" w:cs="仿宋"/>
          <w:sz w:val="28"/>
          <w:szCs w:val="28"/>
        </w:rPr>
        <w:t>表4-2 策勒县水库一级水功能区划统计表</w:t>
      </w:r>
    </w:p>
    <w:tbl>
      <w:tblPr>
        <w:tblStyle w:val="14"/>
        <w:tblW w:w="8522" w:type="dxa"/>
        <w:tblInd w:w="0" w:type="dxa"/>
        <w:tblLayout w:type="fixed"/>
        <w:tblCellMar>
          <w:top w:w="0" w:type="dxa"/>
          <w:left w:w="108" w:type="dxa"/>
          <w:bottom w:w="0" w:type="dxa"/>
          <w:right w:w="108" w:type="dxa"/>
        </w:tblCellMar>
      </w:tblPr>
      <w:tblGrid>
        <w:gridCol w:w="1898"/>
        <w:gridCol w:w="1638"/>
        <w:gridCol w:w="1439"/>
        <w:gridCol w:w="1940"/>
        <w:gridCol w:w="1607"/>
      </w:tblGrid>
      <w:tr>
        <w:tblPrEx>
          <w:tblLayout w:type="fixed"/>
          <w:tblCellMar>
            <w:top w:w="0" w:type="dxa"/>
            <w:left w:w="108" w:type="dxa"/>
            <w:bottom w:w="0" w:type="dxa"/>
            <w:right w:w="108" w:type="dxa"/>
          </w:tblCellMar>
        </w:tblPrEx>
        <w:trPr>
          <w:trHeight w:val="312" w:hRule="atLeast"/>
        </w:trPr>
        <w:tc>
          <w:tcPr>
            <w:tcW w:w="189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一级功能区</w:t>
            </w:r>
          </w:p>
        </w:tc>
        <w:tc>
          <w:tcPr>
            <w:tcW w:w="307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功能区数量</w:t>
            </w:r>
          </w:p>
        </w:tc>
        <w:tc>
          <w:tcPr>
            <w:tcW w:w="354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面积统计</w:t>
            </w:r>
          </w:p>
        </w:tc>
      </w:tr>
      <w:tr>
        <w:tblPrEx>
          <w:tblLayout w:type="fixed"/>
          <w:tblCellMar>
            <w:top w:w="0" w:type="dxa"/>
            <w:left w:w="108" w:type="dxa"/>
            <w:bottom w:w="0" w:type="dxa"/>
            <w:right w:w="108" w:type="dxa"/>
          </w:tblCellMar>
        </w:tblPrEx>
        <w:trPr>
          <w:trHeight w:val="348" w:hRule="atLeast"/>
        </w:trPr>
        <w:tc>
          <w:tcPr>
            <w:tcW w:w="1898"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hint="eastAsia" w:ascii="仿宋" w:hAnsi="仿宋" w:eastAsia="仿宋" w:cs="仿宋"/>
                <w:color w:val="000000"/>
                <w:kern w:val="0"/>
                <w:sz w:val="24"/>
                <w:szCs w:val="24"/>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个数(个)</w:t>
            </w:r>
          </w:p>
        </w:tc>
        <w:tc>
          <w:tcPr>
            <w:tcW w:w="14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占比(%)</w:t>
            </w:r>
          </w:p>
        </w:tc>
        <w:tc>
          <w:tcPr>
            <w:tcW w:w="1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面积(km</w:t>
            </w:r>
            <w:r>
              <w:rPr>
                <w:rFonts w:hint="eastAsia" w:ascii="仿宋" w:hAnsi="仿宋" w:eastAsia="仿宋" w:cs="仿宋"/>
                <w:color w:val="000000"/>
                <w:kern w:val="0"/>
                <w:sz w:val="24"/>
                <w:szCs w:val="24"/>
                <w:vertAlign w:val="superscript"/>
              </w:rPr>
              <w:t>2</w:t>
            </w:r>
            <w:r>
              <w:rPr>
                <w:rFonts w:hint="eastAsia" w:ascii="仿宋" w:hAnsi="仿宋" w:eastAsia="仿宋" w:cs="仿宋"/>
                <w:color w:val="000000"/>
                <w:kern w:val="0"/>
                <w:sz w:val="24"/>
                <w:szCs w:val="24"/>
              </w:rPr>
              <w:t>)</w:t>
            </w:r>
          </w:p>
        </w:tc>
        <w:tc>
          <w:tcPr>
            <w:tcW w:w="16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占比(%)</w:t>
            </w:r>
          </w:p>
        </w:tc>
      </w:tr>
      <w:tr>
        <w:tblPrEx>
          <w:tblLayout w:type="fixed"/>
          <w:tblCellMar>
            <w:top w:w="0" w:type="dxa"/>
            <w:left w:w="108" w:type="dxa"/>
            <w:bottom w:w="0" w:type="dxa"/>
            <w:right w:w="108" w:type="dxa"/>
          </w:tblCellMar>
        </w:tblPrEx>
        <w:trPr>
          <w:trHeight w:val="312" w:hRule="atLeast"/>
        </w:trPr>
        <w:tc>
          <w:tcPr>
            <w:tcW w:w="18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保护区</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1</w:t>
            </w:r>
          </w:p>
        </w:tc>
        <w:tc>
          <w:tcPr>
            <w:tcW w:w="14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 xml:space="preserve">11.11 </w:t>
            </w:r>
          </w:p>
        </w:tc>
        <w:tc>
          <w:tcPr>
            <w:tcW w:w="1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 xml:space="preserve">3.92 </w:t>
            </w:r>
          </w:p>
        </w:tc>
        <w:tc>
          <w:tcPr>
            <w:tcW w:w="16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 xml:space="preserve">32.33 </w:t>
            </w:r>
          </w:p>
        </w:tc>
      </w:tr>
      <w:tr>
        <w:tblPrEx>
          <w:tblLayout w:type="fixed"/>
          <w:tblCellMar>
            <w:top w:w="0" w:type="dxa"/>
            <w:left w:w="108" w:type="dxa"/>
            <w:bottom w:w="0" w:type="dxa"/>
            <w:right w:w="108" w:type="dxa"/>
          </w:tblCellMar>
        </w:tblPrEx>
        <w:trPr>
          <w:trHeight w:val="312" w:hRule="atLeast"/>
        </w:trPr>
        <w:tc>
          <w:tcPr>
            <w:tcW w:w="18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开发利用区</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8</w:t>
            </w:r>
          </w:p>
        </w:tc>
        <w:tc>
          <w:tcPr>
            <w:tcW w:w="14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 xml:space="preserve">88.89 </w:t>
            </w:r>
          </w:p>
        </w:tc>
        <w:tc>
          <w:tcPr>
            <w:tcW w:w="1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 xml:space="preserve">8.21 </w:t>
            </w:r>
          </w:p>
        </w:tc>
        <w:tc>
          <w:tcPr>
            <w:tcW w:w="16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 xml:space="preserve">67.67 </w:t>
            </w:r>
          </w:p>
        </w:tc>
      </w:tr>
      <w:tr>
        <w:tblPrEx>
          <w:tblLayout w:type="fixed"/>
          <w:tblCellMar>
            <w:top w:w="0" w:type="dxa"/>
            <w:left w:w="108" w:type="dxa"/>
            <w:bottom w:w="0" w:type="dxa"/>
            <w:right w:w="108" w:type="dxa"/>
          </w:tblCellMar>
        </w:tblPrEx>
        <w:trPr>
          <w:trHeight w:val="312" w:hRule="atLeast"/>
        </w:trPr>
        <w:tc>
          <w:tcPr>
            <w:tcW w:w="18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总计</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9</w:t>
            </w:r>
          </w:p>
        </w:tc>
        <w:tc>
          <w:tcPr>
            <w:tcW w:w="14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 xml:space="preserve">100.00 </w:t>
            </w:r>
          </w:p>
        </w:tc>
        <w:tc>
          <w:tcPr>
            <w:tcW w:w="1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 xml:space="preserve">12.13 </w:t>
            </w:r>
          </w:p>
        </w:tc>
        <w:tc>
          <w:tcPr>
            <w:tcW w:w="16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 xml:space="preserve">100.00 </w:t>
            </w:r>
          </w:p>
        </w:tc>
      </w:tr>
    </w:tbl>
    <w:p>
      <w:pPr>
        <w:spacing w:line="560" w:lineRule="exact"/>
        <w:ind w:firstLine="602" w:firstLineChars="200"/>
        <w:rPr>
          <w:rFonts w:ascii="Times New Roman" w:hAnsi="Times New Roman" w:eastAsia="仿宋" w:cs="Times New Roman"/>
          <w:b/>
          <w:sz w:val="30"/>
          <w:szCs w:val="30"/>
        </w:rPr>
      </w:pPr>
      <w:r>
        <w:rPr>
          <w:rFonts w:hint="eastAsia" w:ascii="Times New Roman" w:hAnsi="Times New Roman" w:eastAsia="仿宋" w:cs="Times New Roman"/>
          <w:b/>
          <w:sz w:val="30"/>
          <w:szCs w:val="30"/>
        </w:rPr>
        <w:t>（1）保护区</w:t>
      </w:r>
    </w:p>
    <w:p>
      <w:pPr>
        <w:spacing w:line="560" w:lineRule="exact"/>
        <w:ind w:firstLine="600" w:firstLineChars="200"/>
        <w:rPr>
          <w:rFonts w:ascii="仿宋" w:hAnsi="仿宋" w:eastAsia="仿宋"/>
          <w:sz w:val="30"/>
          <w:szCs w:val="30"/>
        </w:rPr>
      </w:pPr>
      <w:r>
        <w:rPr>
          <w:rFonts w:hint="eastAsia" w:ascii="仿宋" w:hAnsi="仿宋" w:eastAsia="仿宋"/>
          <w:sz w:val="30"/>
          <w:szCs w:val="30"/>
        </w:rPr>
        <w:t>根据一级区划的条件和指标，重点考虑策勒县自然保护地（新疆策勒达玛沟国家湿地公园）、生态保护红线、河流源头等要素，将位于这些范围内的河流水系纳入保护区（附图</w:t>
      </w:r>
      <w:r>
        <w:rPr>
          <w:rFonts w:ascii="仿宋" w:hAnsi="仿宋" w:eastAsia="仿宋"/>
          <w:sz w:val="30"/>
          <w:szCs w:val="30"/>
        </w:rPr>
        <w:t>2</w:t>
      </w:r>
      <w:r>
        <w:rPr>
          <w:rFonts w:hint="eastAsia" w:ascii="仿宋" w:hAnsi="仿宋" w:eastAsia="仿宋"/>
          <w:sz w:val="30"/>
          <w:szCs w:val="30"/>
        </w:rPr>
        <w:t>）。</w:t>
      </w:r>
    </w:p>
    <w:p>
      <w:pPr>
        <w:spacing w:line="560" w:lineRule="exact"/>
        <w:ind w:firstLine="600" w:firstLineChars="200"/>
        <w:rPr>
          <w:rFonts w:ascii="仿宋" w:hAnsi="仿宋" w:eastAsia="仿宋"/>
          <w:sz w:val="30"/>
          <w:szCs w:val="30"/>
        </w:rPr>
      </w:pPr>
      <w:r>
        <w:rPr>
          <w:rFonts w:hint="eastAsia" w:ascii="仿宋" w:hAnsi="仿宋" w:eastAsia="仿宋"/>
          <w:sz w:val="30"/>
          <w:szCs w:val="30"/>
        </w:rPr>
        <w:t>本次区划共划定保护区</w:t>
      </w:r>
      <w:r>
        <w:rPr>
          <w:rFonts w:ascii="仿宋" w:hAnsi="仿宋" w:eastAsia="仿宋"/>
          <w:sz w:val="30"/>
          <w:szCs w:val="30"/>
        </w:rPr>
        <w:t>39</w:t>
      </w:r>
      <w:r>
        <w:rPr>
          <w:rFonts w:hint="eastAsia" w:ascii="仿宋" w:hAnsi="仿宋" w:eastAsia="仿宋"/>
          <w:sz w:val="30"/>
          <w:szCs w:val="30"/>
        </w:rPr>
        <w:t>个，其中河流功能区</w:t>
      </w:r>
      <w:r>
        <w:rPr>
          <w:rFonts w:ascii="仿宋" w:hAnsi="仿宋" w:eastAsia="仿宋"/>
          <w:sz w:val="30"/>
          <w:szCs w:val="30"/>
        </w:rPr>
        <w:t>38</w:t>
      </w:r>
      <w:r>
        <w:rPr>
          <w:rFonts w:hint="eastAsia" w:ascii="仿宋" w:hAnsi="仿宋" w:eastAsia="仿宋"/>
          <w:sz w:val="30"/>
          <w:szCs w:val="30"/>
        </w:rPr>
        <w:t>个，水库功能区</w:t>
      </w:r>
      <w:r>
        <w:rPr>
          <w:rFonts w:ascii="仿宋" w:hAnsi="仿宋" w:eastAsia="仿宋"/>
          <w:sz w:val="30"/>
          <w:szCs w:val="30"/>
        </w:rPr>
        <w:t>1</w:t>
      </w:r>
      <w:r>
        <w:rPr>
          <w:rFonts w:hint="eastAsia" w:ascii="仿宋" w:hAnsi="仿宋" w:eastAsia="仿宋"/>
          <w:sz w:val="30"/>
          <w:szCs w:val="30"/>
        </w:rPr>
        <w:t>个，保护区规划河长为</w:t>
      </w:r>
      <w:r>
        <w:rPr>
          <w:rFonts w:ascii="仿宋" w:hAnsi="仿宋" w:eastAsia="仿宋"/>
          <w:sz w:val="30"/>
          <w:szCs w:val="30"/>
        </w:rPr>
        <w:t>859</w:t>
      </w:r>
      <w:r>
        <w:rPr>
          <w:rFonts w:hint="eastAsia" w:ascii="仿宋" w:hAnsi="仿宋" w:eastAsia="仿宋"/>
          <w:sz w:val="30"/>
          <w:szCs w:val="30"/>
        </w:rPr>
        <w:t>.</w:t>
      </w:r>
      <w:r>
        <w:rPr>
          <w:rFonts w:ascii="仿宋" w:hAnsi="仿宋" w:eastAsia="仿宋"/>
          <w:sz w:val="30"/>
          <w:szCs w:val="30"/>
        </w:rPr>
        <w:t>96</w:t>
      </w:r>
      <w:r>
        <w:rPr>
          <w:rFonts w:hint="eastAsia" w:ascii="仿宋" w:hAnsi="仿宋" w:eastAsia="仿宋"/>
          <w:sz w:val="30"/>
          <w:szCs w:val="30"/>
        </w:rPr>
        <w:t>公里，水库水面面积</w:t>
      </w:r>
      <w:r>
        <w:rPr>
          <w:rFonts w:ascii="仿宋" w:hAnsi="仿宋" w:eastAsia="仿宋"/>
          <w:sz w:val="30"/>
          <w:szCs w:val="30"/>
        </w:rPr>
        <w:t>3.92</w:t>
      </w:r>
      <w:r>
        <w:rPr>
          <w:rFonts w:hint="eastAsia" w:ascii="仿宋" w:hAnsi="仿宋" w:eastAsia="仿宋"/>
          <w:sz w:val="30"/>
          <w:szCs w:val="30"/>
        </w:rPr>
        <w:t>平方公里。</w:t>
      </w:r>
    </w:p>
    <w:p>
      <w:pPr>
        <w:spacing w:line="560" w:lineRule="exact"/>
        <w:ind w:firstLine="600" w:firstLineChars="200"/>
        <w:rPr>
          <w:rFonts w:ascii="仿宋" w:hAnsi="仿宋" w:eastAsia="仿宋"/>
          <w:sz w:val="30"/>
          <w:szCs w:val="30"/>
        </w:rPr>
      </w:pPr>
      <w:r>
        <w:rPr>
          <w:rFonts w:ascii="仿宋" w:hAnsi="仿宋" w:eastAsia="仿宋"/>
          <w:sz w:val="30"/>
          <w:szCs w:val="30"/>
        </w:rPr>
        <w:t>38</w:t>
      </w:r>
      <w:r>
        <w:rPr>
          <w:rFonts w:hint="eastAsia" w:ascii="仿宋" w:hAnsi="仿宋" w:eastAsia="仿宋"/>
          <w:sz w:val="30"/>
          <w:szCs w:val="30"/>
        </w:rPr>
        <w:t>个河流可分为5种类型。</w:t>
      </w:r>
    </w:p>
    <w:p>
      <w:pPr>
        <w:spacing w:line="560" w:lineRule="exact"/>
        <w:ind w:firstLine="600" w:firstLineChars="200"/>
        <w:rPr>
          <w:rFonts w:ascii="仿宋" w:hAnsi="仿宋" w:eastAsia="仿宋"/>
          <w:sz w:val="30"/>
          <w:szCs w:val="30"/>
        </w:rPr>
      </w:pPr>
      <w:r>
        <w:rPr>
          <w:rFonts w:hint="eastAsia" w:ascii="仿宋" w:hAnsi="仿宋" w:eastAsia="仿宋"/>
          <w:sz w:val="30"/>
          <w:szCs w:val="30"/>
        </w:rPr>
        <w:t>①生态保护红线保护区，位于准噶尔盆地南缘策勒县绿洲区外围的塔里木盆地南缘土地沙化防控生态保护红线区内，有</w:t>
      </w:r>
      <w:r>
        <w:rPr>
          <w:rFonts w:ascii="仿宋" w:hAnsi="仿宋" w:eastAsia="仿宋"/>
          <w:sz w:val="30"/>
          <w:szCs w:val="30"/>
        </w:rPr>
        <w:t>3</w:t>
      </w:r>
      <w:r>
        <w:rPr>
          <w:rFonts w:hint="eastAsia" w:ascii="仿宋" w:hAnsi="仿宋" w:eastAsia="仿宋"/>
          <w:sz w:val="30"/>
          <w:szCs w:val="30"/>
        </w:rPr>
        <w:t>条河流，长度4</w:t>
      </w:r>
      <w:r>
        <w:rPr>
          <w:rFonts w:ascii="仿宋" w:hAnsi="仿宋" w:eastAsia="仿宋"/>
          <w:sz w:val="30"/>
          <w:szCs w:val="30"/>
        </w:rPr>
        <w:t>9.80</w:t>
      </w:r>
      <w:r>
        <w:rPr>
          <w:rFonts w:hint="eastAsia" w:ascii="仿宋" w:hAnsi="仿宋" w:eastAsia="仿宋"/>
          <w:sz w:val="30"/>
          <w:szCs w:val="30"/>
        </w:rPr>
        <w:t>公里，占保护区总长度的</w:t>
      </w:r>
      <w:r>
        <w:rPr>
          <w:rFonts w:ascii="仿宋" w:hAnsi="仿宋" w:eastAsia="仿宋"/>
          <w:sz w:val="30"/>
          <w:szCs w:val="30"/>
        </w:rPr>
        <w:t>5.79%</w:t>
      </w:r>
      <w:r>
        <w:rPr>
          <w:rFonts w:hint="eastAsia" w:ascii="仿宋" w:hAnsi="仿宋" w:eastAsia="仿宋"/>
          <w:sz w:val="30"/>
          <w:szCs w:val="30"/>
        </w:rPr>
        <w:t>。</w:t>
      </w:r>
    </w:p>
    <w:p>
      <w:pPr>
        <w:spacing w:line="560" w:lineRule="exact"/>
        <w:ind w:firstLine="600" w:firstLineChars="200"/>
        <w:rPr>
          <w:rFonts w:ascii="仿宋" w:hAnsi="仿宋" w:eastAsia="仿宋"/>
          <w:sz w:val="30"/>
          <w:szCs w:val="30"/>
        </w:rPr>
      </w:pPr>
      <w:r>
        <w:rPr>
          <w:rFonts w:hint="eastAsia" w:ascii="仿宋" w:hAnsi="仿宋" w:eastAsia="仿宋"/>
          <w:sz w:val="30"/>
          <w:szCs w:val="30"/>
        </w:rPr>
        <w:t>②湿地公园保护区，位于新疆策勒达玛沟国家湿地公园内，主要涉及1条河流，长度8</w:t>
      </w:r>
      <w:r>
        <w:rPr>
          <w:rFonts w:ascii="仿宋" w:hAnsi="仿宋" w:eastAsia="仿宋"/>
          <w:sz w:val="30"/>
          <w:szCs w:val="30"/>
        </w:rPr>
        <w:t>.85</w:t>
      </w:r>
      <w:r>
        <w:rPr>
          <w:rFonts w:hint="eastAsia" w:ascii="仿宋" w:hAnsi="仿宋" w:eastAsia="仿宋"/>
          <w:sz w:val="30"/>
          <w:szCs w:val="30"/>
        </w:rPr>
        <w:t>公里，占保护区总长度的</w:t>
      </w:r>
      <w:r>
        <w:rPr>
          <w:rFonts w:ascii="仿宋" w:hAnsi="仿宋" w:eastAsia="仿宋"/>
          <w:sz w:val="30"/>
          <w:szCs w:val="30"/>
        </w:rPr>
        <w:t>1.03%</w:t>
      </w:r>
      <w:r>
        <w:rPr>
          <w:rFonts w:hint="eastAsia" w:ascii="仿宋" w:hAnsi="仿宋" w:eastAsia="仿宋"/>
          <w:sz w:val="30"/>
          <w:szCs w:val="30"/>
        </w:rPr>
        <w:t>。</w:t>
      </w:r>
    </w:p>
    <w:p>
      <w:pPr>
        <w:spacing w:line="560" w:lineRule="exact"/>
        <w:ind w:firstLine="600" w:firstLineChars="200"/>
        <w:rPr>
          <w:rFonts w:ascii="仿宋" w:hAnsi="仿宋" w:eastAsia="仿宋"/>
          <w:sz w:val="30"/>
          <w:szCs w:val="30"/>
        </w:rPr>
      </w:pPr>
      <w:r>
        <w:rPr>
          <w:rFonts w:hint="eastAsia" w:ascii="仿宋" w:hAnsi="仿宋" w:eastAsia="仿宋"/>
          <w:sz w:val="30"/>
          <w:szCs w:val="30"/>
        </w:rPr>
        <w:t>③源头水保护区，主要是位于生态保护红线以外的河流源头区，河流数量1</w:t>
      </w:r>
      <w:r>
        <w:rPr>
          <w:rFonts w:ascii="仿宋" w:hAnsi="仿宋" w:eastAsia="仿宋"/>
          <w:sz w:val="30"/>
          <w:szCs w:val="30"/>
        </w:rPr>
        <w:t>2</w:t>
      </w:r>
      <w:r>
        <w:rPr>
          <w:rFonts w:hint="eastAsia" w:ascii="仿宋" w:hAnsi="仿宋" w:eastAsia="仿宋"/>
          <w:sz w:val="30"/>
          <w:szCs w:val="30"/>
        </w:rPr>
        <w:t>个，长度3</w:t>
      </w:r>
      <w:r>
        <w:rPr>
          <w:rFonts w:ascii="仿宋" w:hAnsi="仿宋" w:eastAsia="仿宋"/>
          <w:sz w:val="30"/>
          <w:szCs w:val="30"/>
        </w:rPr>
        <w:t>80.58</w:t>
      </w:r>
      <w:r>
        <w:rPr>
          <w:rFonts w:hint="eastAsia" w:ascii="仿宋" w:hAnsi="仿宋" w:eastAsia="仿宋"/>
          <w:sz w:val="30"/>
          <w:szCs w:val="30"/>
        </w:rPr>
        <w:t>公里，占保护区总长度的</w:t>
      </w:r>
      <w:r>
        <w:rPr>
          <w:rFonts w:ascii="仿宋" w:hAnsi="仿宋" w:eastAsia="仿宋"/>
          <w:sz w:val="30"/>
          <w:szCs w:val="30"/>
        </w:rPr>
        <w:t>44.26%</w:t>
      </w:r>
      <w:r>
        <w:rPr>
          <w:rFonts w:hint="eastAsia" w:ascii="仿宋" w:hAnsi="仿宋" w:eastAsia="仿宋"/>
          <w:sz w:val="30"/>
          <w:szCs w:val="30"/>
        </w:rPr>
        <w:t>。</w:t>
      </w:r>
    </w:p>
    <w:p>
      <w:pPr>
        <w:spacing w:line="560" w:lineRule="exact"/>
        <w:ind w:firstLine="600" w:firstLineChars="200"/>
        <w:rPr>
          <w:rFonts w:ascii="仿宋" w:hAnsi="仿宋" w:eastAsia="仿宋"/>
          <w:sz w:val="30"/>
          <w:szCs w:val="30"/>
        </w:rPr>
      </w:pPr>
      <w:r>
        <w:rPr>
          <w:rFonts w:hint="eastAsia" w:ascii="仿宋" w:hAnsi="仿宋" w:eastAsia="仿宋"/>
          <w:sz w:val="30"/>
          <w:szCs w:val="30"/>
        </w:rPr>
        <w:t>④源头水生态保护红线、饮用水源保护区，指既位于生态保护红线内，同时也位于饮用水源保护区内的水系，河流数量涉及3个，长度</w:t>
      </w:r>
      <w:r>
        <w:rPr>
          <w:rFonts w:ascii="仿宋" w:hAnsi="仿宋" w:eastAsia="仿宋"/>
          <w:sz w:val="30"/>
          <w:szCs w:val="30"/>
        </w:rPr>
        <w:t>15.84</w:t>
      </w:r>
      <w:r>
        <w:rPr>
          <w:rFonts w:hint="eastAsia" w:ascii="仿宋" w:hAnsi="仿宋" w:eastAsia="仿宋"/>
          <w:sz w:val="30"/>
          <w:szCs w:val="30"/>
        </w:rPr>
        <w:t>公里，占保护区总长度的</w:t>
      </w:r>
      <w:r>
        <w:rPr>
          <w:rFonts w:ascii="仿宋" w:hAnsi="仿宋" w:eastAsia="仿宋"/>
          <w:sz w:val="30"/>
          <w:szCs w:val="30"/>
        </w:rPr>
        <w:t>1.84%</w:t>
      </w:r>
      <w:r>
        <w:rPr>
          <w:rFonts w:hint="eastAsia" w:ascii="仿宋" w:hAnsi="仿宋" w:eastAsia="仿宋"/>
          <w:sz w:val="30"/>
          <w:szCs w:val="30"/>
        </w:rPr>
        <w:t>。</w:t>
      </w:r>
    </w:p>
    <w:p>
      <w:pPr>
        <w:spacing w:line="560" w:lineRule="exact"/>
        <w:ind w:firstLine="600" w:firstLineChars="200"/>
        <w:rPr>
          <w:rFonts w:ascii="仿宋" w:hAnsi="仿宋" w:eastAsia="仿宋"/>
          <w:sz w:val="30"/>
          <w:szCs w:val="30"/>
        </w:rPr>
      </w:pPr>
      <w:r>
        <w:rPr>
          <w:rFonts w:hint="eastAsia" w:ascii="仿宋" w:hAnsi="仿宋" w:eastAsia="仿宋"/>
          <w:sz w:val="30"/>
          <w:szCs w:val="30"/>
        </w:rPr>
        <w:t>⑤源头水生态保护红线保护区，指既是源头水，同时也位于生态保护红线内的水系，主要在策勒县南部的昆仑山上、帕米尔-昆仑山水土流失防控生态保护红线区内，河流数量涉及</w:t>
      </w:r>
      <w:r>
        <w:rPr>
          <w:rFonts w:ascii="仿宋" w:hAnsi="仿宋" w:eastAsia="仿宋"/>
          <w:sz w:val="30"/>
          <w:szCs w:val="30"/>
        </w:rPr>
        <w:t>19</w:t>
      </w:r>
      <w:r>
        <w:rPr>
          <w:rFonts w:hint="eastAsia" w:ascii="仿宋" w:hAnsi="仿宋" w:eastAsia="仿宋"/>
          <w:sz w:val="30"/>
          <w:szCs w:val="30"/>
        </w:rPr>
        <w:t>个，长度</w:t>
      </w:r>
      <w:r>
        <w:rPr>
          <w:rFonts w:ascii="仿宋" w:hAnsi="仿宋" w:eastAsia="仿宋"/>
          <w:sz w:val="30"/>
          <w:szCs w:val="30"/>
        </w:rPr>
        <w:t>404.89</w:t>
      </w:r>
      <w:r>
        <w:rPr>
          <w:rFonts w:hint="eastAsia" w:ascii="仿宋" w:hAnsi="仿宋" w:eastAsia="仿宋"/>
          <w:sz w:val="30"/>
          <w:szCs w:val="30"/>
        </w:rPr>
        <w:t>公里，占保护区总长度的</w:t>
      </w:r>
      <w:r>
        <w:rPr>
          <w:rFonts w:ascii="仿宋" w:hAnsi="仿宋" w:eastAsia="仿宋"/>
          <w:sz w:val="30"/>
          <w:szCs w:val="30"/>
        </w:rPr>
        <w:t>47.08%</w:t>
      </w:r>
      <w:r>
        <w:rPr>
          <w:rFonts w:hint="eastAsia" w:ascii="仿宋" w:hAnsi="仿宋" w:eastAsia="仿宋"/>
          <w:sz w:val="30"/>
          <w:szCs w:val="30"/>
        </w:rPr>
        <w:t>。</w:t>
      </w:r>
    </w:p>
    <w:p>
      <w:pPr>
        <w:spacing w:line="560" w:lineRule="exact"/>
        <w:ind w:firstLine="600" w:firstLineChars="200"/>
        <w:rPr>
          <w:rFonts w:ascii="仿宋" w:hAnsi="仿宋" w:eastAsia="仿宋"/>
          <w:sz w:val="30"/>
          <w:szCs w:val="30"/>
        </w:rPr>
      </w:pPr>
      <w:r>
        <w:rPr>
          <w:rFonts w:hint="eastAsia" w:ascii="仿宋" w:hAnsi="仿宋" w:eastAsia="仿宋"/>
          <w:sz w:val="30"/>
          <w:szCs w:val="30"/>
        </w:rPr>
        <w:t>另</w:t>
      </w:r>
      <w:r>
        <w:rPr>
          <w:rFonts w:ascii="仿宋" w:hAnsi="仿宋" w:eastAsia="仿宋"/>
          <w:sz w:val="30"/>
          <w:szCs w:val="30"/>
        </w:rPr>
        <w:t>9</w:t>
      </w:r>
      <w:r>
        <w:rPr>
          <w:rFonts w:hint="eastAsia" w:ascii="仿宋" w:hAnsi="仿宋" w:eastAsia="仿宋"/>
          <w:sz w:val="30"/>
          <w:szCs w:val="30"/>
        </w:rPr>
        <w:t>座水库中有1座划为保护区，为丰收水库，位于新疆策勒达玛沟国家湿地公园内，同时也位于生态保护红线内。</w:t>
      </w:r>
    </w:p>
    <w:p>
      <w:pPr>
        <w:jc w:val="center"/>
        <w:rPr>
          <w:rFonts w:ascii="仿宋" w:hAnsi="仿宋" w:eastAsia="仿宋"/>
          <w:sz w:val="28"/>
          <w:szCs w:val="28"/>
        </w:rPr>
      </w:pPr>
      <w:r>
        <w:rPr>
          <w:rFonts w:hint="eastAsia" w:ascii="仿宋" w:hAnsi="仿宋" w:eastAsia="仿宋"/>
          <w:sz w:val="28"/>
          <w:szCs w:val="28"/>
        </w:rPr>
        <w:t>表</w:t>
      </w:r>
      <w:r>
        <w:rPr>
          <w:rFonts w:ascii="仿宋" w:hAnsi="仿宋" w:eastAsia="仿宋"/>
          <w:sz w:val="28"/>
          <w:szCs w:val="28"/>
        </w:rPr>
        <w:t xml:space="preserve">4-3 </w:t>
      </w:r>
      <w:r>
        <w:rPr>
          <w:rFonts w:hint="eastAsia" w:ascii="仿宋" w:hAnsi="仿宋" w:eastAsia="仿宋"/>
          <w:sz w:val="28"/>
          <w:szCs w:val="28"/>
        </w:rPr>
        <w:t>策勒县水库一级</w:t>
      </w:r>
      <w:r>
        <w:rPr>
          <w:rFonts w:ascii="仿宋" w:hAnsi="仿宋" w:eastAsia="仿宋"/>
          <w:sz w:val="28"/>
          <w:szCs w:val="28"/>
        </w:rPr>
        <w:t>水功能区划</w:t>
      </w:r>
      <w:r>
        <w:rPr>
          <w:rFonts w:hint="eastAsia" w:ascii="仿宋" w:hAnsi="仿宋" w:eastAsia="仿宋"/>
          <w:sz w:val="28"/>
          <w:szCs w:val="28"/>
        </w:rPr>
        <w:t>统计表</w:t>
      </w:r>
    </w:p>
    <w:tbl>
      <w:tblPr>
        <w:tblStyle w:val="14"/>
        <w:tblW w:w="8522" w:type="dxa"/>
        <w:tblInd w:w="0" w:type="dxa"/>
        <w:tblLayout w:type="fixed"/>
        <w:tblCellMar>
          <w:top w:w="0" w:type="dxa"/>
          <w:left w:w="108" w:type="dxa"/>
          <w:bottom w:w="0" w:type="dxa"/>
          <w:right w:w="108" w:type="dxa"/>
        </w:tblCellMar>
      </w:tblPr>
      <w:tblGrid>
        <w:gridCol w:w="4331"/>
        <w:gridCol w:w="985"/>
        <w:gridCol w:w="1030"/>
        <w:gridCol w:w="1146"/>
        <w:gridCol w:w="1030"/>
      </w:tblGrid>
      <w:tr>
        <w:tblPrEx>
          <w:tblLayout w:type="fixed"/>
          <w:tblCellMar>
            <w:top w:w="0" w:type="dxa"/>
            <w:left w:w="108" w:type="dxa"/>
            <w:bottom w:w="0" w:type="dxa"/>
            <w:right w:w="108" w:type="dxa"/>
          </w:tblCellMar>
        </w:tblPrEx>
        <w:trPr>
          <w:trHeight w:val="496" w:hRule="atLeast"/>
        </w:trPr>
        <w:tc>
          <w:tcPr>
            <w:tcW w:w="433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保护区</w:t>
            </w:r>
          </w:p>
        </w:tc>
        <w:tc>
          <w:tcPr>
            <w:tcW w:w="201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功能区数量</w:t>
            </w:r>
          </w:p>
        </w:tc>
        <w:tc>
          <w:tcPr>
            <w:tcW w:w="217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长度统计</w:t>
            </w:r>
          </w:p>
        </w:tc>
      </w:tr>
      <w:tr>
        <w:tblPrEx>
          <w:tblLayout w:type="fixed"/>
          <w:tblCellMar>
            <w:top w:w="0" w:type="dxa"/>
            <w:left w:w="108" w:type="dxa"/>
            <w:bottom w:w="0" w:type="dxa"/>
            <w:right w:w="108" w:type="dxa"/>
          </w:tblCellMar>
        </w:tblPrEx>
        <w:trPr>
          <w:trHeight w:val="312" w:hRule="atLeast"/>
        </w:trPr>
        <w:tc>
          <w:tcPr>
            <w:tcW w:w="4331"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hint="eastAsia" w:ascii="仿宋" w:hAnsi="仿宋" w:eastAsia="仿宋" w:cs="仿宋"/>
                <w:color w:val="000000"/>
                <w:kern w:val="0"/>
                <w:sz w:val="24"/>
                <w:szCs w:val="24"/>
              </w:rPr>
            </w:pPr>
          </w:p>
        </w:tc>
        <w:tc>
          <w:tcPr>
            <w:tcW w:w="9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个数(个)</w:t>
            </w:r>
          </w:p>
        </w:tc>
        <w:tc>
          <w:tcPr>
            <w:tcW w:w="10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占比(%)</w:t>
            </w: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长度(km)</w:t>
            </w:r>
          </w:p>
        </w:tc>
        <w:tc>
          <w:tcPr>
            <w:tcW w:w="10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占比(%)</w:t>
            </w:r>
          </w:p>
        </w:tc>
      </w:tr>
      <w:tr>
        <w:tblPrEx>
          <w:tblLayout w:type="fixed"/>
          <w:tblCellMar>
            <w:top w:w="0" w:type="dxa"/>
            <w:left w:w="108" w:type="dxa"/>
            <w:bottom w:w="0" w:type="dxa"/>
            <w:right w:w="108" w:type="dxa"/>
          </w:tblCellMar>
        </w:tblPrEx>
        <w:trPr>
          <w:trHeight w:val="348" w:hRule="atLeast"/>
        </w:trPr>
        <w:tc>
          <w:tcPr>
            <w:tcW w:w="43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生态保护红线保护区</w:t>
            </w:r>
          </w:p>
        </w:tc>
        <w:tc>
          <w:tcPr>
            <w:tcW w:w="9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3</w:t>
            </w:r>
          </w:p>
        </w:tc>
        <w:tc>
          <w:tcPr>
            <w:tcW w:w="10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 xml:space="preserve">7.89 </w:t>
            </w: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 xml:space="preserve">49.80 </w:t>
            </w:r>
          </w:p>
        </w:tc>
        <w:tc>
          <w:tcPr>
            <w:tcW w:w="10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 xml:space="preserve">5.79 </w:t>
            </w:r>
          </w:p>
        </w:tc>
      </w:tr>
      <w:tr>
        <w:tblPrEx>
          <w:tblLayout w:type="fixed"/>
          <w:tblCellMar>
            <w:top w:w="0" w:type="dxa"/>
            <w:left w:w="108" w:type="dxa"/>
            <w:bottom w:w="0" w:type="dxa"/>
            <w:right w:w="108" w:type="dxa"/>
          </w:tblCellMar>
        </w:tblPrEx>
        <w:trPr>
          <w:trHeight w:val="312" w:hRule="atLeast"/>
        </w:trPr>
        <w:tc>
          <w:tcPr>
            <w:tcW w:w="43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湿地公园保护区</w:t>
            </w:r>
          </w:p>
        </w:tc>
        <w:tc>
          <w:tcPr>
            <w:tcW w:w="9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1</w:t>
            </w:r>
          </w:p>
        </w:tc>
        <w:tc>
          <w:tcPr>
            <w:tcW w:w="10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 xml:space="preserve">2.63 </w:t>
            </w: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 xml:space="preserve">8.85 </w:t>
            </w:r>
          </w:p>
        </w:tc>
        <w:tc>
          <w:tcPr>
            <w:tcW w:w="10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 xml:space="preserve">1.03 </w:t>
            </w:r>
          </w:p>
        </w:tc>
      </w:tr>
      <w:tr>
        <w:tblPrEx>
          <w:tblLayout w:type="fixed"/>
          <w:tblCellMar>
            <w:top w:w="0" w:type="dxa"/>
            <w:left w:w="108" w:type="dxa"/>
            <w:bottom w:w="0" w:type="dxa"/>
            <w:right w:w="108" w:type="dxa"/>
          </w:tblCellMar>
        </w:tblPrEx>
        <w:trPr>
          <w:trHeight w:val="312" w:hRule="atLeast"/>
        </w:trPr>
        <w:tc>
          <w:tcPr>
            <w:tcW w:w="43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源头水保护区</w:t>
            </w:r>
          </w:p>
        </w:tc>
        <w:tc>
          <w:tcPr>
            <w:tcW w:w="9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12</w:t>
            </w:r>
          </w:p>
        </w:tc>
        <w:tc>
          <w:tcPr>
            <w:tcW w:w="10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 xml:space="preserve">31.58 </w:t>
            </w: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 xml:space="preserve">380.58 </w:t>
            </w:r>
          </w:p>
        </w:tc>
        <w:tc>
          <w:tcPr>
            <w:tcW w:w="10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 xml:space="preserve">44.26 </w:t>
            </w:r>
          </w:p>
        </w:tc>
      </w:tr>
      <w:tr>
        <w:tblPrEx>
          <w:tblLayout w:type="fixed"/>
          <w:tblCellMar>
            <w:top w:w="0" w:type="dxa"/>
            <w:left w:w="108" w:type="dxa"/>
            <w:bottom w:w="0" w:type="dxa"/>
            <w:right w:w="108" w:type="dxa"/>
          </w:tblCellMar>
        </w:tblPrEx>
        <w:trPr>
          <w:trHeight w:val="312" w:hRule="atLeast"/>
        </w:trPr>
        <w:tc>
          <w:tcPr>
            <w:tcW w:w="43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源头水生态保护红线、饮用水源保护区</w:t>
            </w:r>
          </w:p>
        </w:tc>
        <w:tc>
          <w:tcPr>
            <w:tcW w:w="9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3</w:t>
            </w:r>
          </w:p>
        </w:tc>
        <w:tc>
          <w:tcPr>
            <w:tcW w:w="10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 xml:space="preserve">7.89 </w:t>
            </w: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 xml:space="preserve">15.84 </w:t>
            </w:r>
          </w:p>
        </w:tc>
        <w:tc>
          <w:tcPr>
            <w:tcW w:w="10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 xml:space="preserve">1.84 </w:t>
            </w:r>
          </w:p>
        </w:tc>
      </w:tr>
      <w:tr>
        <w:tblPrEx>
          <w:tblLayout w:type="fixed"/>
          <w:tblCellMar>
            <w:top w:w="0" w:type="dxa"/>
            <w:left w:w="108" w:type="dxa"/>
            <w:bottom w:w="0" w:type="dxa"/>
            <w:right w:w="108" w:type="dxa"/>
          </w:tblCellMar>
        </w:tblPrEx>
        <w:trPr>
          <w:trHeight w:val="312" w:hRule="atLeast"/>
        </w:trPr>
        <w:tc>
          <w:tcPr>
            <w:tcW w:w="43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源头水生态保护红线保护区</w:t>
            </w:r>
          </w:p>
        </w:tc>
        <w:tc>
          <w:tcPr>
            <w:tcW w:w="9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19</w:t>
            </w:r>
          </w:p>
        </w:tc>
        <w:tc>
          <w:tcPr>
            <w:tcW w:w="10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 xml:space="preserve">50.00 </w:t>
            </w: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 xml:space="preserve">404.89 </w:t>
            </w:r>
          </w:p>
        </w:tc>
        <w:tc>
          <w:tcPr>
            <w:tcW w:w="10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 xml:space="preserve">47.08 </w:t>
            </w:r>
          </w:p>
        </w:tc>
      </w:tr>
      <w:tr>
        <w:tblPrEx>
          <w:tblLayout w:type="fixed"/>
          <w:tblCellMar>
            <w:top w:w="0" w:type="dxa"/>
            <w:left w:w="108" w:type="dxa"/>
            <w:bottom w:w="0" w:type="dxa"/>
            <w:right w:w="108" w:type="dxa"/>
          </w:tblCellMar>
        </w:tblPrEx>
        <w:trPr>
          <w:trHeight w:val="312" w:hRule="atLeast"/>
        </w:trPr>
        <w:tc>
          <w:tcPr>
            <w:tcW w:w="43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合计</w:t>
            </w:r>
          </w:p>
        </w:tc>
        <w:tc>
          <w:tcPr>
            <w:tcW w:w="9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38</w:t>
            </w:r>
          </w:p>
        </w:tc>
        <w:tc>
          <w:tcPr>
            <w:tcW w:w="10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 xml:space="preserve">100.00 </w:t>
            </w: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 xml:space="preserve">859.96 </w:t>
            </w:r>
          </w:p>
        </w:tc>
        <w:tc>
          <w:tcPr>
            <w:tcW w:w="10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 xml:space="preserve">100.00 </w:t>
            </w:r>
          </w:p>
        </w:tc>
      </w:tr>
    </w:tbl>
    <w:p>
      <w:pPr>
        <w:spacing w:line="560" w:lineRule="exact"/>
        <w:ind w:firstLine="602" w:firstLineChars="200"/>
        <w:rPr>
          <w:rFonts w:ascii="Times New Roman" w:hAnsi="Times New Roman" w:eastAsia="仿宋" w:cs="Times New Roman"/>
          <w:b/>
          <w:sz w:val="30"/>
          <w:szCs w:val="30"/>
        </w:rPr>
      </w:pPr>
      <w:r>
        <w:rPr>
          <w:rFonts w:hint="eastAsia" w:ascii="Times New Roman" w:hAnsi="Times New Roman" w:eastAsia="仿宋" w:cs="Times New Roman"/>
          <w:b/>
          <w:sz w:val="30"/>
          <w:szCs w:val="30"/>
        </w:rPr>
        <w:t>（</w:t>
      </w:r>
      <w:r>
        <w:rPr>
          <w:rFonts w:ascii="Times New Roman" w:hAnsi="Times New Roman" w:eastAsia="仿宋" w:cs="Times New Roman"/>
          <w:b/>
          <w:sz w:val="30"/>
          <w:szCs w:val="30"/>
        </w:rPr>
        <w:t>2</w:t>
      </w:r>
      <w:r>
        <w:rPr>
          <w:rFonts w:hint="eastAsia" w:ascii="Times New Roman" w:hAnsi="Times New Roman" w:eastAsia="仿宋" w:cs="Times New Roman"/>
          <w:b/>
          <w:sz w:val="30"/>
          <w:szCs w:val="30"/>
        </w:rPr>
        <w:t>）保留区</w:t>
      </w:r>
    </w:p>
    <w:p>
      <w:pPr>
        <w:spacing w:line="560" w:lineRule="exact"/>
        <w:ind w:firstLine="600" w:firstLineChars="200"/>
        <w:rPr>
          <w:rFonts w:ascii="仿宋" w:hAnsi="仿宋" w:eastAsia="仿宋"/>
          <w:sz w:val="30"/>
          <w:szCs w:val="30"/>
        </w:rPr>
      </w:pPr>
      <w:r>
        <w:rPr>
          <w:rFonts w:hint="eastAsia" w:ascii="仿宋" w:hAnsi="仿宋" w:eastAsia="仿宋"/>
          <w:sz w:val="30"/>
          <w:szCs w:val="30"/>
        </w:rPr>
        <w:t>根据一级区划的条件和指标，重点参考策勒县河道岸线保护与利用规划中保留区划定成果，依据策勒县自然环境特征，纳入保留区的主要是位于昆仑山山前冲洪积扇区域内的水系，距离农田、城镇均有一定距离，周边多为荒漠戈壁。</w:t>
      </w:r>
    </w:p>
    <w:p>
      <w:pPr>
        <w:spacing w:line="560" w:lineRule="exact"/>
        <w:ind w:firstLine="600" w:firstLineChars="200"/>
        <w:rPr>
          <w:rFonts w:ascii="仿宋" w:hAnsi="仿宋" w:eastAsia="仿宋"/>
          <w:sz w:val="30"/>
          <w:szCs w:val="30"/>
        </w:rPr>
      </w:pPr>
      <w:r>
        <w:rPr>
          <w:rFonts w:hint="eastAsia" w:ascii="仿宋" w:hAnsi="仿宋" w:eastAsia="仿宋"/>
          <w:sz w:val="30"/>
          <w:szCs w:val="30"/>
        </w:rPr>
        <w:t>本次区划共划定保留区</w:t>
      </w:r>
      <w:r>
        <w:rPr>
          <w:rFonts w:ascii="仿宋" w:hAnsi="仿宋" w:eastAsia="仿宋"/>
          <w:sz w:val="30"/>
          <w:szCs w:val="30"/>
        </w:rPr>
        <w:t>11</w:t>
      </w:r>
      <w:r>
        <w:rPr>
          <w:rFonts w:hint="eastAsia" w:ascii="仿宋" w:hAnsi="仿宋" w:eastAsia="仿宋"/>
          <w:sz w:val="30"/>
          <w:szCs w:val="30"/>
        </w:rPr>
        <w:t>个，均为河流功能区，保留区规划河长为</w:t>
      </w:r>
      <w:r>
        <w:rPr>
          <w:rFonts w:ascii="仿宋" w:hAnsi="仿宋" w:eastAsia="仿宋"/>
          <w:sz w:val="30"/>
          <w:szCs w:val="30"/>
        </w:rPr>
        <w:t>350.87</w:t>
      </w:r>
      <w:r>
        <w:rPr>
          <w:rFonts w:hint="eastAsia" w:ascii="仿宋" w:hAnsi="仿宋" w:eastAsia="仿宋"/>
          <w:sz w:val="30"/>
          <w:szCs w:val="30"/>
        </w:rPr>
        <w:t>公里，占总规划长度的2</w:t>
      </w:r>
      <w:r>
        <w:rPr>
          <w:rFonts w:ascii="仿宋" w:hAnsi="仿宋" w:eastAsia="仿宋"/>
          <w:sz w:val="30"/>
          <w:szCs w:val="30"/>
        </w:rPr>
        <w:t>1.29%</w:t>
      </w:r>
      <w:r>
        <w:rPr>
          <w:rFonts w:hint="eastAsia" w:ascii="仿宋" w:hAnsi="仿宋" w:eastAsia="仿宋"/>
          <w:sz w:val="30"/>
          <w:szCs w:val="30"/>
        </w:rPr>
        <w:t>。</w:t>
      </w:r>
    </w:p>
    <w:p>
      <w:pPr>
        <w:spacing w:line="560" w:lineRule="exact"/>
        <w:ind w:firstLine="602" w:firstLineChars="200"/>
        <w:rPr>
          <w:rFonts w:ascii="Times New Roman" w:hAnsi="Times New Roman" w:eastAsia="仿宋" w:cs="Times New Roman"/>
          <w:b/>
          <w:sz w:val="30"/>
          <w:szCs w:val="30"/>
        </w:rPr>
      </w:pPr>
      <w:r>
        <w:rPr>
          <w:rFonts w:hint="eastAsia" w:ascii="Times New Roman" w:hAnsi="Times New Roman" w:eastAsia="仿宋" w:cs="Times New Roman"/>
          <w:b/>
          <w:sz w:val="30"/>
          <w:szCs w:val="30"/>
        </w:rPr>
        <w:t>（</w:t>
      </w:r>
      <w:r>
        <w:rPr>
          <w:rFonts w:ascii="Times New Roman" w:hAnsi="Times New Roman" w:eastAsia="仿宋" w:cs="Times New Roman"/>
          <w:b/>
          <w:sz w:val="30"/>
          <w:szCs w:val="30"/>
        </w:rPr>
        <w:t>3</w:t>
      </w:r>
      <w:r>
        <w:rPr>
          <w:rFonts w:hint="eastAsia" w:ascii="Times New Roman" w:hAnsi="Times New Roman" w:eastAsia="仿宋" w:cs="Times New Roman"/>
          <w:b/>
          <w:sz w:val="30"/>
          <w:szCs w:val="30"/>
        </w:rPr>
        <w:t>）开发利用区</w:t>
      </w:r>
    </w:p>
    <w:p>
      <w:pPr>
        <w:spacing w:line="560" w:lineRule="exact"/>
        <w:ind w:firstLine="600" w:firstLineChars="200"/>
        <w:rPr>
          <w:rFonts w:ascii="Times New Roman" w:hAnsi="Times New Roman" w:eastAsia="仿宋" w:cs="Times New Roman"/>
          <w:b/>
          <w:sz w:val="32"/>
          <w:szCs w:val="32"/>
        </w:rPr>
      </w:pPr>
      <w:r>
        <w:rPr>
          <w:rFonts w:hint="eastAsia" w:ascii="仿宋" w:hAnsi="仿宋" w:eastAsia="仿宋"/>
          <w:sz w:val="30"/>
          <w:szCs w:val="30"/>
        </w:rPr>
        <w:t>根据一级区划的条件和指标，根据策勒县农业生产、工业生产、人居活动等特征，参考策勒县河道岸线保护与利用规划中利用区划定成果，划定开发利用区，共划定开发利用区2</w:t>
      </w:r>
      <w:r>
        <w:rPr>
          <w:rFonts w:ascii="仿宋" w:hAnsi="仿宋" w:eastAsia="仿宋"/>
          <w:sz w:val="30"/>
          <w:szCs w:val="30"/>
        </w:rPr>
        <w:t>9</w:t>
      </w:r>
      <w:r>
        <w:rPr>
          <w:rFonts w:hint="eastAsia" w:ascii="仿宋" w:hAnsi="仿宋" w:eastAsia="仿宋"/>
          <w:sz w:val="30"/>
          <w:szCs w:val="30"/>
        </w:rPr>
        <w:t>个。其中河流开发利用区</w:t>
      </w:r>
      <w:r>
        <w:rPr>
          <w:rFonts w:ascii="仿宋" w:hAnsi="仿宋" w:eastAsia="仿宋"/>
          <w:sz w:val="30"/>
          <w:szCs w:val="30"/>
        </w:rPr>
        <w:t>21</w:t>
      </w:r>
      <w:r>
        <w:rPr>
          <w:rFonts w:hint="eastAsia" w:ascii="仿宋" w:hAnsi="仿宋" w:eastAsia="仿宋"/>
          <w:sz w:val="30"/>
          <w:szCs w:val="30"/>
        </w:rPr>
        <w:t>个，规划河长</w:t>
      </w:r>
      <w:r>
        <w:rPr>
          <w:rFonts w:ascii="仿宋" w:hAnsi="仿宋" w:eastAsia="仿宋"/>
          <w:sz w:val="30"/>
          <w:szCs w:val="30"/>
        </w:rPr>
        <w:t>437.02</w:t>
      </w:r>
      <w:r>
        <w:rPr>
          <w:rFonts w:hint="eastAsia" w:ascii="仿宋" w:hAnsi="仿宋" w:eastAsia="仿宋"/>
          <w:sz w:val="30"/>
          <w:szCs w:val="30"/>
        </w:rPr>
        <w:t>公里，占总规划河长的</w:t>
      </w:r>
      <w:r>
        <w:rPr>
          <w:rFonts w:ascii="仿宋" w:hAnsi="仿宋" w:eastAsia="仿宋"/>
          <w:sz w:val="30"/>
          <w:szCs w:val="30"/>
        </w:rPr>
        <w:t>26.52</w:t>
      </w:r>
      <w:r>
        <w:rPr>
          <w:rFonts w:hint="eastAsia" w:ascii="仿宋" w:hAnsi="仿宋" w:eastAsia="仿宋"/>
          <w:sz w:val="30"/>
          <w:szCs w:val="30"/>
        </w:rPr>
        <w:t>%；水库开发利用区</w:t>
      </w:r>
      <w:r>
        <w:rPr>
          <w:rFonts w:ascii="仿宋" w:hAnsi="仿宋" w:eastAsia="仿宋"/>
          <w:sz w:val="30"/>
          <w:szCs w:val="30"/>
        </w:rPr>
        <w:t>8</w:t>
      </w:r>
      <w:r>
        <w:rPr>
          <w:rFonts w:hint="eastAsia" w:ascii="仿宋" w:hAnsi="仿宋" w:eastAsia="仿宋"/>
          <w:sz w:val="30"/>
          <w:szCs w:val="30"/>
        </w:rPr>
        <w:t>个，水面面积</w:t>
      </w:r>
      <w:r>
        <w:rPr>
          <w:rFonts w:ascii="仿宋" w:hAnsi="仿宋" w:eastAsia="仿宋"/>
          <w:sz w:val="30"/>
          <w:szCs w:val="30"/>
        </w:rPr>
        <w:t>12.13</w:t>
      </w:r>
      <w:r>
        <w:rPr>
          <w:rFonts w:hint="eastAsia" w:ascii="仿宋" w:hAnsi="仿宋" w:eastAsia="仿宋"/>
          <w:sz w:val="30"/>
          <w:szCs w:val="30"/>
        </w:rPr>
        <w:t>平方公里，占总水库面积的</w:t>
      </w:r>
      <w:r>
        <w:rPr>
          <w:rFonts w:ascii="仿宋" w:hAnsi="仿宋" w:eastAsia="仿宋"/>
          <w:sz w:val="30"/>
          <w:szCs w:val="30"/>
        </w:rPr>
        <w:t>67.67</w:t>
      </w:r>
      <w:r>
        <w:rPr>
          <w:rFonts w:hint="eastAsia" w:ascii="仿宋" w:hAnsi="仿宋" w:eastAsia="仿宋"/>
          <w:sz w:val="30"/>
          <w:szCs w:val="30"/>
        </w:rPr>
        <w:t>%。</w:t>
      </w:r>
    </w:p>
    <w:p>
      <w:pPr>
        <w:spacing w:line="560" w:lineRule="exact"/>
        <w:ind w:firstLine="602" w:firstLineChars="200"/>
        <w:rPr>
          <w:rFonts w:ascii="Times New Roman" w:hAnsi="Times New Roman" w:eastAsia="仿宋_GB2312" w:cs="Times New Roman"/>
          <w:kern w:val="0"/>
          <w:sz w:val="30"/>
          <w:szCs w:val="30"/>
        </w:rPr>
      </w:pPr>
      <w:r>
        <w:rPr>
          <w:rFonts w:ascii="Times New Roman" w:hAnsi="Times New Roman" w:eastAsia="仿宋" w:cs="Times New Roman"/>
          <w:b/>
          <w:sz w:val="30"/>
          <w:szCs w:val="30"/>
        </w:rPr>
        <w:t>2、</w:t>
      </w:r>
      <w:r>
        <w:rPr>
          <w:rFonts w:hint="eastAsia" w:ascii="Times New Roman" w:hAnsi="Times New Roman" w:eastAsia="仿宋" w:cs="Times New Roman"/>
          <w:b/>
          <w:sz w:val="30"/>
          <w:szCs w:val="30"/>
        </w:rPr>
        <w:t>二级水功能区</w:t>
      </w:r>
    </w:p>
    <w:p>
      <w:pPr>
        <w:spacing w:line="560" w:lineRule="exact"/>
        <w:ind w:firstLine="600" w:firstLineChars="200"/>
        <w:rPr>
          <w:rFonts w:ascii="仿宋" w:hAnsi="仿宋" w:eastAsia="仿宋"/>
          <w:sz w:val="30"/>
          <w:szCs w:val="30"/>
        </w:rPr>
      </w:pPr>
      <w:r>
        <w:rPr>
          <w:rFonts w:hint="eastAsia" w:ascii="仿宋" w:hAnsi="仿宋" w:eastAsia="仿宋"/>
          <w:sz w:val="30"/>
          <w:szCs w:val="30"/>
        </w:rPr>
        <w:t>将开发利用区进一步划分二级区，本次区划共划分水功能二级区</w:t>
      </w:r>
      <w:r>
        <w:rPr>
          <w:rFonts w:ascii="仿宋" w:hAnsi="仿宋" w:eastAsia="仿宋"/>
          <w:sz w:val="30"/>
          <w:szCs w:val="30"/>
        </w:rPr>
        <w:t>29</w:t>
      </w:r>
      <w:r>
        <w:rPr>
          <w:rFonts w:hint="eastAsia" w:ascii="仿宋" w:hAnsi="仿宋" w:eastAsia="仿宋"/>
          <w:sz w:val="30"/>
          <w:szCs w:val="30"/>
        </w:rPr>
        <w:t>个，其中河流功能区</w:t>
      </w:r>
      <w:r>
        <w:rPr>
          <w:rFonts w:ascii="仿宋" w:hAnsi="仿宋" w:eastAsia="仿宋"/>
          <w:sz w:val="30"/>
          <w:szCs w:val="30"/>
        </w:rPr>
        <w:t>21</w:t>
      </w:r>
      <w:r>
        <w:rPr>
          <w:rFonts w:hint="eastAsia" w:ascii="仿宋" w:hAnsi="仿宋" w:eastAsia="仿宋"/>
          <w:sz w:val="30"/>
          <w:szCs w:val="30"/>
        </w:rPr>
        <w:t>个，水库功能区</w:t>
      </w:r>
      <w:r>
        <w:rPr>
          <w:rFonts w:ascii="仿宋" w:hAnsi="仿宋" w:eastAsia="仿宋"/>
          <w:sz w:val="30"/>
          <w:szCs w:val="30"/>
        </w:rPr>
        <w:t>8</w:t>
      </w:r>
      <w:r>
        <w:rPr>
          <w:rFonts w:hint="eastAsia" w:ascii="仿宋" w:hAnsi="仿宋" w:eastAsia="仿宋"/>
          <w:sz w:val="30"/>
          <w:szCs w:val="30"/>
        </w:rPr>
        <w:t>个，总规划河长为</w:t>
      </w:r>
      <w:r>
        <w:rPr>
          <w:rFonts w:ascii="仿宋" w:hAnsi="仿宋" w:eastAsia="仿宋"/>
          <w:sz w:val="30"/>
          <w:szCs w:val="30"/>
        </w:rPr>
        <w:t>437.02</w:t>
      </w:r>
      <w:r>
        <w:rPr>
          <w:rFonts w:hint="eastAsia" w:ascii="仿宋" w:hAnsi="仿宋" w:eastAsia="仿宋"/>
          <w:sz w:val="30"/>
          <w:szCs w:val="30"/>
        </w:rPr>
        <w:t>公里，水库水面面积</w:t>
      </w:r>
      <w:r>
        <w:rPr>
          <w:rFonts w:ascii="仿宋" w:hAnsi="仿宋" w:eastAsia="仿宋"/>
          <w:sz w:val="30"/>
          <w:szCs w:val="30"/>
        </w:rPr>
        <w:t>8.21</w:t>
      </w:r>
      <w:r>
        <w:rPr>
          <w:rFonts w:hint="eastAsia" w:ascii="仿宋" w:hAnsi="仿宋" w:eastAsia="仿宋"/>
          <w:sz w:val="30"/>
          <w:szCs w:val="30"/>
        </w:rPr>
        <w:t>平方公里。</w:t>
      </w:r>
    </w:p>
    <w:p>
      <w:pPr>
        <w:spacing w:line="560" w:lineRule="exact"/>
        <w:ind w:firstLine="600" w:firstLineChars="200"/>
        <w:rPr>
          <w:rFonts w:ascii="仿宋" w:hAnsi="仿宋" w:eastAsia="仿宋"/>
          <w:sz w:val="30"/>
          <w:szCs w:val="30"/>
        </w:rPr>
      </w:pPr>
      <w:r>
        <w:rPr>
          <w:rFonts w:ascii="仿宋" w:hAnsi="仿宋" w:eastAsia="仿宋"/>
          <w:sz w:val="30"/>
          <w:szCs w:val="30"/>
        </w:rPr>
        <w:t>21</w:t>
      </w:r>
      <w:r>
        <w:rPr>
          <w:rFonts w:hint="eastAsia" w:ascii="仿宋" w:hAnsi="仿宋" w:eastAsia="仿宋"/>
          <w:sz w:val="30"/>
          <w:szCs w:val="30"/>
        </w:rPr>
        <w:t>个河流中农业用水区</w:t>
      </w:r>
      <w:r>
        <w:rPr>
          <w:rFonts w:ascii="仿宋" w:hAnsi="仿宋" w:eastAsia="仿宋"/>
          <w:sz w:val="30"/>
          <w:szCs w:val="30"/>
        </w:rPr>
        <w:t>18</w:t>
      </w:r>
      <w:r>
        <w:rPr>
          <w:rFonts w:hint="eastAsia" w:ascii="仿宋" w:hAnsi="仿宋" w:eastAsia="仿宋"/>
          <w:sz w:val="30"/>
          <w:szCs w:val="30"/>
        </w:rPr>
        <w:t>个，占河流总数量的</w:t>
      </w:r>
      <w:r>
        <w:rPr>
          <w:rFonts w:ascii="仿宋" w:hAnsi="仿宋" w:eastAsia="仿宋"/>
          <w:sz w:val="30"/>
          <w:szCs w:val="30"/>
        </w:rPr>
        <w:t>85.71%</w:t>
      </w:r>
      <w:r>
        <w:rPr>
          <w:rFonts w:hint="eastAsia" w:ascii="仿宋" w:hAnsi="仿宋" w:eastAsia="仿宋"/>
          <w:sz w:val="30"/>
          <w:szCs w:val="30"/>
        </w:rPr>
        <w:t>，规划河长</w:t>
      </w:r>
      <w:r>
        <w:rPr>
          <w:rFonts w:ascii="仿宋" w:hAnsi="仿宋" w:eastAsia="仿宋"/>
          <w:sz w:val="30"/>
          <w:szCs w:val="30"/>
        </w:rPr>
        <w:t>424.44</w:t>
      </w:r>
      <w:r>
        <w:rPr>
          <w:rFonts w:hint="eastAsia" w:ascii="仿宋" w:hAnsi="仿宋" w:eastAsia="仿宋"/>
          <w:sz w:val="30"/>
          <w:szCs w:val="30"/>
        </w:rPr>
        <w:t>公里，占总规划河长的</w:t>
      </w:r>
      <w:r>
        <w:rPr>
          <w:rFonts w:ascii="仿宋" w:hAnsi="仿宋" w:eastAsia="仿宋"/>
          <w:sz w:val="30"/>
          <w:szCs w:val="30"/>
        </w:rPr>
        <w:t>97.12</w:t>
      </w:r>
      <w:r>
        <w:rPr>
          <w:rFonts w:hint="eastAsia" w:ascii="仿宋" w:hAnsi="仿宋" w:eastAsia="仿宋"/>
          <w:sz w:val="30"/>
          <w:szCs w:val="30"/>
        </w:rPr>
        <w:t>%；饮用水源区</w:t>
      </w:r>
      <w:r>
        <w:rPr>
          <w:rFonts w:ascii="仿宋" w:hAnsi="仿宋" w:eastAsia="仿宋"/>
          <w:sz w:val="30"/>
          <w:szCs w:val="30"/>
        </w:rPr>
        <w:t>3</w:t>
      </w:r>
      <w:r>
        <w:rPr>
          <w:rFonts w:hint="eastAsia" w:ascii="仿宋" w:hAnsi="仿宋" w:eastAsia="仿宋"/>
          <w:sz w:val="30"/>
          <w:szCs w:val="30"/>
        </w:rPr>
        <w:t>个，占河流总数量的</w:t>
      </w:r>
      <w:r>
        <w:rPr>
          <w:rFonts w:ascii="仿宋" w:hAnsi="仿宋" w:eastAsia="仿宋"/>
          <w:sz w:val="30"/>
          <w:szCs w:val="30"/>
        </w:rPr>
        <w:t>14.29%</w:t>
      </w:r>
      <w:r>
        <w:rPr>
          <w:rFonts w:hint="eastAsia" w:ascii="仿宋" w:hAnsi="仿宋" w:eastAsia="仿宋"/>
          <w:sz w:val="30"/>
          <w:szCs w:val="30"/>
        </w:rPr>
        <w:t>，规划河长</w:t>
      </w:r>
      <w:r>
        <w:rPr>
          <w:rFonts w:ascii="仿宋" w:hAnsi="仿宋" w:eastAsia="仿宋"/>
          <w:sz w:val="30"/>
          <w:szCs w:val="30"/>
        </w:rPr>
        <w:t>12.58</w:t>
      </w:r>
      <w:r>
        <w:rPr>
          <w:rFonts w:hint="eastAsia" w:ascii="仿宋" w:hAnsi="仿宋" w:eastAsia="仿宋"/>
          <w:sz w:val="30"/>
          <w:szCs w:val="30"/>
        </w:rPr>
        <w:t>公里，占总规划河长的</w:t>
      </w:r>
      <w:r>
        <w:rPr>
          <w:rFonts w:ascii="仿宋" w:hAnsi="仿宋" w:eastAsia="仿宋"/>
          <w:sz w:val="30"/>
          <w:szCs w:val="30"/>
        </w:rPr>
        <w:t>2.88</w:t>
      </w:r>
      <w:r>
        <w:rPr>
          <w:rFonts w:hint="eastAsia" w:ascii="仿宋" w:hAnsi="仿宋" w:eastAsia="仿宋"/>
          <w:sz w:val="30"/>
          <w:szCs w:val="30"/>
        </w:rPr>
        <w:t>%。</w:t>
      </w:r>
      <w:r>
        <w:rPr>
          <w:rFonts w:ascii="仿宋" w:hAnsi="仿宋" w:eastAsia="仿宋"/>
          <w:sz w:val="30"/>
          <w:szCs w:val="30"/>
        </w:rPr>
        <w:t>8</w:t>
      </w:r>
      <w:r>
        <w:rPr>
          <w:rFonts w:hint="eastAsia" w:ascii="仿宋" w:hAnsi="仿宋" w:eastAsia="仿宋"/>
          <w:sz w:val="30"/>
          <w:szCs w:val="30"/>
        </w:rPr>
        <w:t>座水库均为农业用水区。</w:t>
      </w:r>
    </w:p>
    <w:p>
      <w:pPr>
        <w:spacing w:line="560" w:lineRule="exact"/>
        <w:ind w:firstLine="600" w:firstLineChars="200"/>
        <w:rPr>
          <w:rFonts w:ascii="仿宋" w:hAnsi="仿宋" w:eastAsia="仿宋"/>
          <w:sz w:val="30"/>
          <w:szCs w:val="30"/>
        </w:rPr>
      </w:pPr>
      <w:r>
        <w:rPr>
          <w:rFonts w:hint="eastAsia" w:ascii="仿宋" w:hAnsi="仿宋" w:eastAsia="仿宋"/>
          <w:sz w:val="30"/>
          <w:szCs w:val="30"/>
        </w:rPr>
        <w:t>策勒县水功能区区划成果见附表，河流一级功能区统计结果见表4</w:t>
      </w:r>
      <w:r>
        <w:rPr>
          <w:rFonts w:ascii="仿宋" w:hAnsi="仿宋" w:eastAsia="仿宋"/>
          <w:sz w:val="30"/>
          <w:szCs w:val="30"/>
        </w:rPr>
        <w:t>-4</w:t>
      </w:r>
      <w:r>
        <w:rPr>
          <w:rFonts w:hint="eastAsia" w:ascii="仿宋" w:hAnsi="仿宋" w:eastAsia="仿宋"/>
          <w:sz w:val="30"/>
          <w:szCs w:val="30"/>
        </w:rPr>
        <w:t>。</w:t>
      </w:r>
    </w:p>
    <w:p>
      <w:pPr>
        <w:jc w:val="center"/>
        <w:rPr>
          <w:rFonts w:ascii="Times New Roman" w:hAnsi="Times New Roman" w:eastAsia="仿宋" w:cs="Times New Roman"/>
          <w:b/>
          <w:sz w:val="32"/>
          <w:szCs w:val="32"/>
        </w:rPr>
      </w:pPr>
      <w:r>
        <w:rPr>
          <w:rFonts w:hint="eastAsia" w:ascii="仿宋" w:hAnsi="仿宋" w:eastAsia="仿宋"/>
          <w:sz w:val="28"/>
          <w:szCs w:val="28"/>
        </w:rPr>
        <w:t>表</w:t>
      </w:r>
      <w:r>
        <w:rPr>
          <w:rFonts w:ascii="仿宋" w:hAnsi="仿宋" w:eastAsia="仿宋"/>
          <w:sz w:val="28"/>
          <w:szCs w:val="28"/>
        </w:rPr>
        <w:t xml:space="preserve">4-4 </w:t>
      </w:r>
      <w:r>
        <w:rPr>
          <w:rFonts w:hint="eastAsia" w:ascii="仿宋" w:hAnsi="仿宋" w:eastAsia="仿宋"/>
          <w:sz w:val="28"/>
          <w:szCs w:val="28"/>
        </w:rPr>
        <w:t>策勒县河流二级</w:t>
      </w:r>
      <w:r>
        <w:rPr>
          <w:rFonts w:ascii="仿宋" w:hAnsi="仿宋" w:eastAsia="仿宋"/>
          <w:sz w:val="28"/>
          <w:szCs w:val="28"/>
        </w:rPr>
        <w:t>水功能区划</w:t>
      </w:r>
      <w:r>
        <w:rPr>
          <w:rFonts w:hint="eastAsia" w:ascii="仿宋" w:hAnsi="仿宋" w:eastAsia="仿宋"/>
          <w:sz w:val="28"/>
          <w:szCs w:val="28"/>
        </w:rPr>
        <w:t>统计表</w:t>
      </w:r>
    </w:p>
    <w:tbl>
      <w:tblPr>
        <w:tblStyle w:val="14"/>
        <w:tblW w:w="8522" w:type="dxa"/>
        <w:tblInd w:w="0" w:type="dxa"/>
        <w:tblLayout w:type="fixed"/>
        <w:tblCellMar>
          <w:top w:w="0" w:type="dxa"/>
          <w:left w:w="108" w:type="dxa"/>
          <w:bottom w:w="0" w:type="dxa"/>
          <w:right w:w="108" w:type="dxa"/>
        </w:tblCellMar>
      </w:tblPr>
      <w:tblGrid>
        <w:gridCol w:w="2032"/>
        <w:gridCol w:w="1687"/>
        <w:gridCol w:w="1515"/>
        <w:gridCol w:w="1773"/>
        <w:gridCol w:w="1515"/>
      </w:tblGrid>
      <w:tr>
        <w:tblPrEx>
          <w:tblLayout w:type="fixed"/>
          <w:tblCellMar>
            <w:top w:w="0" w:type="dxa"/>
            <w:left w:w="108" w:type="dxa"/>
            <w:bottom w:w="0" w:type="dxa"/>
            <w:right w:w="108" w:type="dxa"/>
          </w:tblCellMar>
        </w:tblPrEx>
        <w:trPr>
          <w:trHeight w:val="361" w:hRule="atLeast"/>
        </w:trPr>
        <w:tc>
          <w:tcPr>
            <w:tcW w:w="2032"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二级功能区</w:t>
            </w:r>
          </w:p>
        </w:tc>
        <w:tc>
          <w:tcPr>
            <w:tcW w:w="320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功能区数量</w:t>
            </w:r>
          </w:p>
        </w:tc>
        <w:tc>
          <w:tcPr>
            <w:tcW w:w="328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长度统计</w:t>
            </w:r>
          </w:p>
        </w:tc>
      </w:tr>
      <w:tr>
        <w:tblPrEx>
          <w:tblLayout w:type="fixed"/>
          <w:tblCellMar>
            <w:top w:w="0" w:type="dxa"/>
            <w:left w:w="108" w:type="dxa"/>
            <w:bottom w:w="0" w:type="dxa"/>
            <w:right w:w="108" w:type="dxa"/>
          </w:tblCellMar>
        </w:tblPrEx>
        <w:trPr>
          <w:trHeight w:val="348" w:hRule="atLeast"/>
        </w:trPr>
        <w:tc>
          <w:tcPr>
            <w:tcW w:w="2032"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hint="eastAsia" w:ascii="仿宋" w:hAnsi="仿宋" w:eastAsia="仿宋" w:cs="仿宋"/>
                <w:color w:val="000000"/>
                <w:kern w:val="0"/>
                <w:sz w:val="24"/>
                <w:szCs w:val="24"/>
              </w:rPr>
            </w:pPr>
          </w:p>
        </w:tc>
        <w:tc>
          <w:tcPr>
            <w:tcW w:w="1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个数(个)</w:t>
            </w:r>
          </w:p>
        </w:tc>
        <w:tc>
          <w:tcPr>
            <w:tcW w:w="1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占比(%)</w:t>
            </w:r>
          </w:p>
        </w:tc>
        <w:tc>
          <w:tcPr>
            <w:tcW w:w="17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长度(km)</w:t>
            </w:r>
          </w:p>
        </w:tc>
        <w:tc>
          <w:tcPr>
            <w:tcW w:w="1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占比(%)</w:t>
            </w:r>
          </w:p>
        </w:tc>
      </w:tr>
      <w:tr>
        <w:tblPrEx>
          <w:tblLayout w:type="fixed"/>
          <w:tblCellMar>
            <w:top w:w="0" w:type="dxa"/>
            <w:left w:w="108" w:type="dxa"/>
            <w:bottom w:w="0" w:type="dxa"/>
            <w:right w:w="108" w:type="dxa"/>
          </w:tblCellMar>
        </w:tblPrEx>
        <w:trPr>
          <w:trHeight w:val="312" w:hRule="atLeast"/>
        </w:trPr>
        <w:tc>
          <w:tcPr>
            <w:tcW w:w="2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农业用水区</w:t>
            </w:r>
          </w:p>
        </w:tc>
        <w:tc>
          <w:tcPr>
            <w:tcW w:w="1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18</w:t>
            </w:r>
          </w:p>
        </w:tc>
        <w:tc>
          <w:tcPr>
            <w:tcW w:w="1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 xml:space="preserve">85.71 </w:t>
            </w:r>
          </w:p>
        </w:tc>
        <w:tc>
          <w:tcPr>
            <w:tcW w:w="17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 xml:space="preserve">424.44 </w:t>
            </w:r>
          </w:p>
        </w:tc>
        <w:tc>
          <w:tcPr>
            <w:tcW w:w="1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 xml:space="preserve">97.12 </w:t>
            </w:r>
          </w:p>
        </w:tc>
      </w:tr>
      <w:tr>
        <w:tblPrEx>
          <w:tblLayout w:type="fixed"/>
          <w:tblCellMar>
            <w:top w:w="0" w:type="dxa"/>
            <w:left w:w="108" w:type="dxa"/>
            <w:bottom w:w="0" w:type="dxa"/>
            <w:right w:w="108" w:type="dxa"/>
          </w:tblCellMar>
        </w:tblPrEx>
        <w:trPr>
          <w:trHeight w:val="312" w:hRule="atLeast"/>
        </w:trPr>
        <w:tc>
          <w:tcPr>
            <w:tcW w:w="2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饮用水源区</w:t>
            </w:r>
          </w:p>
        </w:tc>
        <w:tc>
          <w:tcPr>
            <w:tcW w:w="1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3</w:t>
            </w:r>
          </w:p>
        </w:tc>
        <w:tc>
          <w:tcPr>
            <w:tcW w:w="1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 xml:space="preserve">14.29 </w:t>
            </w:r>
          </w:p>
        </w:tc>
        <w:tc>
          <w:tcPr>
            <w:tcW w:w="17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 xml:space="preserve">12.58 </w:t>
            </w:r>
          </w:p>
        </w:tc>
        <w:tc>
          <w:tcPr>
            <w:tcW w:w="1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 xml:space="preserve">2.88 </w:t>
            </w:r>
          </w:p>
        </w:tc>
      </w:tr>
      <w:tr>
        <w:tblPrEx>
          <w:tblLayout w:type="fixed"/>
          <w:tblCellMar>
            <w:top w:w="0" w:type="dxa"/>
            <w:left w:w="108" w:type="dxa"/>
            <w:bottom w:w="0" w:type="dxa"/>
            <w:right w:w="108" w:type="dxa"/>
          </w:tblCellMar>
        </w:tblPrEx>
        <w:trPr>
          <w:trHeight w:val="312" w:hRule="atLeast"/>
        </w:trPr>
        <w:tc>
          <w:tcPr>
            <w:tcW w:w="2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总计</w:t>
            </w:r>
          </w:p>
        </w:tc>
        <w:tc>
          <w:tcPr>
            <w:tcW w:w="1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21</w:t>
            </w:r>
          </w:p>
        </w:tc>
        <w:tc>
          <w:tcPr>
            <w:tcW w:w="1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 xml:space="preserve">100.00 </w:t>
            </w:r>
          </w:p>
        </w:tc>
        <w:tc>
          <w:tcPr>
            <w:tcW w:w="17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 xml:space="preserve">437.02 </w:t>
            </w:r>
          </w:p>
        </w:tc>
        <w:tc>
          <w:tcPr>
            <w:tcW w:w="1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 xml:space="preserve">100.00 </w:t>
            </w:r>
          </w:p>
        </w:tc>
      </w:tr>
    </w:tbl>
    <w:p>
      <w:pPr>
        <w:spacing w:line="560" w:lineRule="exact"/>
        <w:ind w:firstLine="602" w:firstLineChars="200"/>
        <w:rPr>
          <w:rFonts w:ascii="Times New Roman" w:hAnsi="Times New Roman" w:eastAsia="仿宋" w:cs="Times New Roman"/>
          <w:b/>
          <w:sz w:val="30"/>
          <w:szCs w:val="30"/>
        </w:rPr>
      </w:pPr>
      <w:bookmarkStart w:id="39" w:name="_Toc68713486"/>
      <w:r>
        <w:rPr>
          <w:rFonts w:hint="eastAsia" w:ascii="Times New Roman" w:hAnsi="Times New Roman" w:eastAsia="仿宋" w:cs="Times New Roman"/>
          <w:b/>
          <w:sz w:val="30"/>
          <w:szCs w:val="30"/>
        </w:rPr>
        <w:t>（</w:t>
      </w:r>
      <w:r>
        <w:rPr>
          <w:rFonts w:ascii="Times New Roman" w:hAnsi="Times New Roman" w:eastAsia="仿宋" w:cs="Times New Roman"/>
          <w:b/>
          <w:sz w:val="30"/>
          <w:szCs w:val="30"/>
        </w:rPr>
        <w:t>1</w:t>
      </w:r>
      <w:r>
        <w:rPr>
          <w:rFonts w:hint="eastAsia" w:ascii="Times New Roman" w:hAnsi="Times New Roman" w:eastAsia="仿宋" w:cs="Times New Roman"/>
          <w:b/>
          <w:sz w:val="30"/>
          <w:szCs w:val="30"/>
        </w:rPr>
        <w:t>）饮用水源区</w:t>
      </w:r>
    </w:p>
    <w:p>
      <w:pPr>
        <w:spacing w:line="560" w:lineRule="exact"/>
        <w:ind w:firstLine="600" w:firstLineChars="200"/>
        <w:rPr>
          <w:rFonts w:ascii="仿宋" w:hAnsi="仿宋" w:eastAsia="仿宋"/>
          <w:sz w:val="30"/>
          <w:szCs w:val="30"/>
        </w:rPr>
      </w:pPr>
      <w:r>
        <w:rPr>
          <w:rFonts w:hint="eastAsia" w:ascii="仿宋" w:hAnsi="仿宋" w:eastAsia="仿宋"/>
          <w:sz w:val="30"/>
          <w:szCs w:val="30"/>
        </w:rPr>
        <w:t>根据二级区划的条件和指标，结合策勒县饮用水水源地保护区划分方案，将开发利用区内提供综合生活用水的水域划为饮用水源区。</w:t>
      </w:r>
    </w:p>
    <w:p>
      <w:pPr>
        <w:spacing w:line="560" w:lineRule="exact"/>
        <w:ind w:firstLine="600" w:firstLineChars="200"/>
        <w:rPr>
          <w:rFonts w:ascii="仿宋" w:hAnsi="仿宋" w:eastAsia="仿宋"/>
          <w:sz w:val="30"/>
          <w:szCs w:val="30"/>
        </w:rPr>
      </w:pPr>
      <w:r>
        <w:rPr>
          <w:rFonts w:hint="eastAsia" w:ascii="仿宋" w:hAnsi="仿宋" w:eastAsia="仿宋"/>
          <w:sz w:val="30"/>
          <w:szCs w:val="30"/>
        </w:rPr>
        <w:t>本次区划共划定饮用水源区</w:t>
      </w:r>
      <w:r>
        <w:rPr>
          <w:rFonts w:ascii="仿宋" w:hAnsi="仿宋" w:eastAsia="仿宋"/>
          <w:sz w:val="30"/>
          <w:szCs w:val="30"/>
        </w:rPr>
        <w:t>3</w:t>
      </w:r>
      <w:r>
        <w:rPr>
          <w:rFonts w:hint="eastAsia" w:ascii="仿宋" w:hAnsi="仿宋" w:eastAsia="仿宋"/>
          <w:sz w:val="30"/>
          <w:szCs w:val="30"/>
        </w:rPr>
        <w:t>个，均为河流功能区，饮用水源区规划河长为1</w:t>
      </w:r>
      <w:r>
        <w:rPr>
          <w:rFonts w:ascii="仿宋" w:hAnsi="仿宋" w:eastAsia="仿宋"/>
          <w:sz w:val="30"/>
          <w:szCs w:val="30"/>
        </w:rPr>
        <w:t>2.88</w:t>
      </w:r>
      <w:r>
        <w:rPr>
          <w:rFonts w:hint="eastAsia" w:ascii="仿宋" w:hAnsi="仿宋" w:eastAsia="仿宋"/>
          <w:sz w:val="30"/>
          <w:szCs w:val="30"/>
        </w:rPr>
        <w:t>公里，占开发利用区长度的</w:t>
      </w:r>
      <w:r>
        <w:rPr>
          <w:rFonts w:ascii="仿宋" w:hAnsi="仿宋" w:eastAsia="仿宋"/>
          <w:sz w:val="30"/>
          <w:szCs w:val="30"/>
        </w:rPr>
        <w:t>2.88%</w:t>
      </w:r>
      <w:r>
        <w:rPr>
          <w:rFonts w:hint="eastAsia" w:ascii="仿宋" w:hAnsi="仿宋" w:eastAsia="仿宋"/>
          <w:sz w:val="30"/>
          <w:szCs w:val="30"/>
        </w:rPr>
        <w:t>。</w:t>
      </w:r>
    </w:p>
    <w:p>
      <w:pPr>
        <w:spacing w:line="560" w:lineRule="exact"/>
        <w:ind w:firstLine="602" w:firstLineChars="200"/>
        <w:rPr>
          <w:rFonts w:ascii="Times New Roman" w:hAnsi="Times New Roman" w:eastAsia="仿宋" w:cs="Times New Roman"/>
          <w:b/>
          <w:sz w:val="30"/>
          <w:szCs w:val="30"/>
        </w:rPr>
      </w:pPr>
      <w:r>
        <w:rPr>
          <w:rFonts w:hint="eastAsia" w:ascii="Times New Roman" w:hAnsi="Times New Roman" w:eastAsia="仿宋" w:cs="Times New Roman"/>
          <w:b/>
          <w:sz w:val="30"/>
          <w:szCs w:val="30"/>
        </w:rPr>
        <w:t>（</w:t>
      </w:r>
      <w:r>
        <w:rPr>
          <w:rFonts w:ascii="Times New Roman" w:hAnsi="Times New Roman" w:eastAsia="仿宋" w:cs="Times New Roman"/>
          <w:b/>
          <w:sz w:val="30"/>
          <w:szCs w:val="30"/>
        </w:rPr>
        <w:t>2</w:t>
      </w:r>
      <w:r>
        <w:rPr>
          <w:rFonts w:hint="eastAsia" w:ascii="Times New Roman" w:hAnsi="Times New Roman" w:eastAsia="仿宋" w:cs="Times New Roman"/>
          <w:b/>
          <w:sz w:val="30"/>
          <w:szCs w:val="30"/>
        </w:rPr>
        <w:t>）</w:t>
      </w:r>
      <w:bookmarkStart w:id="40" w:name="_Hlk153706087"/>
      <w:r>
        <w:rPr>
          <w:rFonts w:hint="eastAsia" w:ascii="Times New Roman" w:hAnsi="Times New Roman" w:eastAsia="仿宋" w:cs="Times New Roman"/>
          <w:b/>
          <w:sz w:val="30"/>
          <w:szCs w:val="30"/>
        </w:rPr>
        <w:t>农业用水区</w:t>
      </w:r>
      <w:bookmarkEnd w:id="40"/>
    </w:p>
    <w:p>
      <w:pPr>
        <w:spacing w:line="560" w:lineRule="exact"/>
        <w:ind w:firstLine="600" w:firstLineChars="200"/>
        <w:rPr>
          <w:rFonts w:ascii="仿宋" w:hAnsi="仿宋" w:eastAsia="仿宋"/>
          <w:sz w:val="30"/>
          <w:szCs w:val="30"/>
        </w:rPr>
      </w:pPr>
      <w:r>
        <w:rPr>
          <w:rFonts w:hint="eastAsia" w:ascii="仿宋" w:hAnsi="仿宋" w:eastAsia="仿宋"/>
          <w:sz w:val="30"/>
          <w:szCs w:val="30"/>
        </w:rPr>
        <w:t>根据二级区划的条件和指标，结合策勒县灌区空间分布，考虑上下游供水关系，将开发利用区内满足农业灌溉的水域划为农业用水区。</w:t>
      </w:r>
    </w:p>
    <w:p>
      <w:pPr>
        <w:spacing w:line="560" w:lineRule="exact"/>
        <w:ind w:firstLine="600" w:firstLineChars="200"/>
        <w:rPr>
          <w:rFonts w:ascii="仿宋" w:hAnsi="仿宋" w:eastAsia="仿宋"/>
          <w:sz w:val="30"/>
          <w:szCs w:val="30"/>
        </w:rPr>
      </w:pPr>
      <w:r>
        <w:rPr>
          <w:rFonts w:hint="eastAsia" w:ascii="仿宋" w:hAnsi="仿宋" w:eastAsia="仿宋"/>
          <w:sz w:val="30"/>
          <w:szCs w:val="30"/>
        </w:rPr>
        <w:t>本次区划共划定</w:t>
      </w:r>
      <w:bookmarkStart w:id="41" w:name="_Hlk153706228"/>
      <w:r>
        <w:rPr>
          <w:rFonts w:hint="eastAsia" w:ascii="仿宋" w:hAnsi="仿宋" w:eastAsia="仿宋"/>
          <w:sz w:val="30"/>
          <w:szCs w:val="30"/>
        </w:rPr>
        <w:t>农业用水区</w:t>
      </w:r>
      <w:bookmarkEnd w:id="41"/>
      <w:r>
        <w:rPr>
          <w:rFonts w:ascii="仿宋" w:hAnsi="仿宋" w:eastAsia="仿宋"/>
          <w:sz w:val="30"/>
          <w:szCs w:val="30"/>
        </w:rPr>
        <w:t>26</w:t>
      </w:r>
      <w:r>
        <w:rPr>
          <w:rFonts w:hint="eastAsia" w:ascii="仿宋" w:hAnsi="仿宋" w:eastAsia="仿宋"/>
          <w:sz w:val="30"/>
          <w:szCs w:val="30"/>
        </w:rPr>
        <w:t>个，其中河流农业用水区</w:t>
      </w:r>
      <w:r>
        <w:rPr>
          <w:rFonts w:ascii="仿宋" w:hAnsi="仿宋" w:eastAsia="仿宋"/>
          <w:sz w:val="30"/>
          <w:szCs w:val="30"/>
        </w:rPr>
        <w:t>18</w:t>
      </w:r>
      <w:r>
        <w:rPr>
          <w:rFonts w:hint="eastAsia" w:ascii="仿宋" w:hAnsi="仿宋" w:eastAsia="仿宋"/>
          <w:sz w:val="30"/>
          <w:szCs w:val="30"/>
        </w:rPr>
        <w:t>个，农业用水区河长4</w:t>
      </w:r>
      <w:r>
        <w:rPr>
          <w:rFonts w:ascii="仿宋" w:hAnsi="仿宋" w:eastAsia="仿宋"/>
          <w:sz w:val="30"/>
          <w:szCs w:val="30"/>
        </w:rPr>
        <w:t>24.44</w:t>
      </w:r>
      <w:r>
        <w:rPr>
          <w:rFonts w:hint="eastAsia" w:ascii="仿宋" w:hAnsi="仿宋" w:eastAsia="仿宋"/>
          <w:sz w:val="30"/>
          <w:szCs w:val="30"/>
        </w:rPr>
        <w:t>公里，占开发利用区长度的</w:t>
      </w:r>
      <w:r>
        <w:rPr>
          <w:rFonts w:ascii="仿宋" w:hAnsi="仿宋" w:eastAsia="仿宋"/>
          <w:sz w:val="30"/>
          <w:szCs w:val="30"/>
        </w:rPr>
        <w:t>97.12</w:t>
      </w:r>
      <w:r>
        <w:rPr>
          <w:rFonts w:hint="eastAsia" w:ascii="仿宋" w:hAnsi="仿宋" w:eastAsia="仿宋"/>
          <w:sz w:val="30"/>
          <w:szCs w:val="30"/>
        </w:rPr>
        <w:t>%；水库农业用水区</w:t>
      </w:r>
      <w:r>
        <w:rPr>
          <w:rFonts w:ascii="仿宋" w:hAnsi="仿宋" w:eastAsia="仿宋"/>
          <w:sz w:val="30"/>
          <w:szCs w:val="30"/>
        </w:rPr>
        <w:t>8</w:t>
      </w:r>
      <w:r>
        <w:rPr>
          <w:rFonts w:hint="eastAsia" w:ascii="仿宋" w:hAnsi="仿宋" w:eastAsia="仿宋"/>
          <w:sz w:val="30"/>
          <w:szCs w:val="30"/>
        </w:rPr>
        <w:t>个，水面面积</w:t>
      </w:r>
      <w:r>
        <w:rPr>
          <w:rFonts w:ascii="仿宋" w:hAnsi="仿宋" w:eastAsia="仿宋"/>
          <w:sz w:val="30"/>
          <w:szCs w:val="30"/>
        </w:rPr>
        <w:t>12.13</w:t>
      </w:r>
      <w:r>
        <w:rPr>
          <w:rFonts w:hint="eastAsia" w:ascii="仿宋" w:hAnsi="仿宋" w:eastAsia="仿宋"/>
          <w:sz w:val="30"/>
          <w:szCs w:val="30"/>
        </w:rPr>
        <w:t>平方公里。</w:t>
      </w:r>
    </w:p>
    <w:p>
      <w:pPr>
        <w:adjustRightInd w:val="0"/>
        <w:snapToGrid w:val="0"/>
        <w:spacing w:line="560" w:lineRule="exact"/>
        <w:outlineLvl w:val="0"/>
        <w:rPr>
          <w:rFonts w:ascii="Times New Roman" w:hAnsi="Times New Roman" w:eastAsia="仿宋" w:cs="Times New Roman"/>
          <w:b/>
          <w:sz w:val="32"/>
          <w:szCs w:val="32"/>
        </w:rPr>
      </w:pPr>
      <w:bookmarkStart w:id="42" w:name="_Toc153706331"/>
      <w:r>
        <w:rPr>
          <w:rFonts w:hint="eastAsia" w:ascii="Times New Roman" w:hAnsi="Times New Roman" w:eastAsia="仿宋" w:cs="Times New Roman"/>
          <w:b/>
          <w:sz w:val="32"/>
          <w:szCs w:val="32"/>
        </w:rPr>
        <w:t>五</w:t>
      </w:r>
      <w:r>
        <w:rPr>
          <w:rFonts w:ascii="Times New Roman" w:hAnsi="Times New Roman" w:eastAsia="仿宋" w:cs="Times New Roman"/>
          <w:b/>
          <w:sz w:val="32"/>
          <w:szCs w:val="32"/>
        </w:rPr>
        <w:t>、水功能区划实施保障</w:t>
      </w:r>
      <w:bookmarkEnd w:id="39"/>
      <w:bookmarkEnd w:id="42"/>
    </w:p>
    <w:p>
      <w:pPr>
        <w:adjustRightInd w:val="0"/>
        <w:snapToGrid w:val="0"/>
        <w:spacing w:line="560" w:lineRule="exact"/>
        <w:ind w:firstLine="643" w:firstLineChars="200"/>
        <w:outlineLvl w:val="1"/>
        <w:rPr>
          <w:rFonts w:ascii="Times New Roman" w:hAnsi="Times New Roman" w:eastAsia="仿宋" w:cs="Times New Roman"/>
          <w:b/>
          <w:sz w:val="32"/>
          <w:szCs w:val="32"/>
        </w:rPr>
      </w:pPr>
      <w:bookmarkStart w:id="43" w:name="_Toc153706332"/>
      <w:bookmarkStart w:id="44" w:name="_Toc68713487"/>
      <w:r>
        <w:rPr>
          <w:rFonts w:ascii="Times New Roman" w:hAnsi="Times New Roman" w:eastAsia="仿宋" w:cs="Times New Roman"/>
          <w:b/>
          <w:sz w:val="32"/>
          <w:szCs w:val="32"/>
        </w:rPr>
        <w:t>（一）建立完善的管理体系</w:t>
      </w:r>
      <w:bookmarkEnd w:id="43"/>
      <w:bookmarkEnd w:id="44"/>
    </w:p>
    <w:p>
      <w:pPr>
        <w:spacing w:line="560" w:lineRule="exact"/>
        <w:ind w:firstLine="600" w:firstLineChars="200"/>
      </w:pPr>
      <w:r>
        <w:rPr>
          <w:rFonts w:hint="eastAsia" w:ascii="仿宋" w:hAnsi="仿宋" w:eastAsia="仿宋"/>
          <w:sz w:val="30"/>
          <w:szCs w:val="30"/>
        </w:rPr>
        <w:t>水功能区划是水环境保护工作的重要基础工作。要严格按水功能区划目标进行监督管理。对不能达到区划功能目标的水域，要实施削减工业、城市生活及农村面源排放的水污染物总量及生态恢复的治理工程、技术和管理措施，全面推行污染物总量控制制度和排放重点水污染物许可证制度。建立和实施水功能区目标考核责任制度，对辖区内水域功能目标达标情况和饮用水源保护区功能目标达标进行考核。</w:t>
      </w:r>
    </w:p>
    <w:p>
      <w:pPr>
        <w:adjustRightInd w:val="0"/>
        <w:snapToGrid w:val="0"/>
        <w:spacing w:line="560" w:lineRule="exact"/>
        <w:ind w:firstLine="643" w:firstLineChars="200"/>
        <w:outlineLvl w:val="1"/>
        <w:rPr>
          <w:rFonts w:ascii="Times New Roman" w:hAnsi="Times New Roman" w:eastAsia="仿宋" w:cs="Times New Roman"/>
          <w:b/>
          <w:sz w:val="32"/>
          <w:szCs w:val="32"/>
        </w:rPr>
      </w:pPr>
      <w:bookmarkStart w:id="45" w:name="_Toc373937899"/>
      <w:bookmarkStart w:id="46" w:name="_Toc68713488"/>
      <w:bookmarkStart w:id="47" w:name="_Toc153706333"/>
      <w:bookmarkStart w:id="48" w:name="_Toc386962220"/>
      <w:r>
        <w:rPr>
          <w:rFonts w:ascii="Times New Roman" w:hAnsi="Times New Roman" w:eastAsia="仿宋" w:cs="Times New Roman"/>
          <w:b/>
          <w:sz w:val="32"/>
          <w:szCs w:val="32"/>
        </w:rPr>
        <w:t>（二）建立健全水质监测网络体系</w:t>
      </w:r>
      <w:bookmarkEnd w:id="45"/>
      <w:bookmarkEnd w:id="46"/>
      <w:bookmarkEnd w:id="47"/>
      <w:bookmarkEnd w:id="48"/>
    </w:p>
    <w:p>
      <w:pPr>
        <w:spacing w:line="560" w:lineRule="exact"/>
        <w:ind w:firstLine="600" w:firstLineChars="200"/>
        <w:rPr>
          <w:rFonts w:ascii="Times New Roman" w:hAnsi="Times New Roman" w:eastAsia="仿宋"/>
          <w:sz w:val="30"/>
          <w:szCs w:val="30"/>
        </w:rPr>
      </w:pPr>
      <w:bookmarkStart w:id="49" w:name="_Toc386962221"/>
      <w:bookmarkStart w:id="50" w:name="_Toc373937900"/>
      <w:r>
        <w:rPr>
          <w:rFonts w:hint="eastAsia" w:ascii="仿宋" w:hAnsi="仿宋" w:eastAsia="仿宋"/>
          <w:sz w:val="30"/>
          <w:szCs w:val="30"/>
        </w:rPr>
        <w:t>加大专项资金投入，各部门要在年度预算中对水资源工程建设所需资金予以重点安排、优先保障。各地要定期开展水功能区水质监测工作并对其结果进行评价，及时掌握功能区的水质状况；对功能区内的水质问题出现异常及突发事件做出及时反映，并向有关部门提供准确的水质资料。定期开展水质评价，及时准确地公布水</w:t>
      </w:r>
      <w:r>
        <w:rPr>
          <w:rFonts w:ascii="仿宋" w:hAnsi="仿宋" w:eastAsia="仿宋"/>
          <w:sz w:val="30"/>
          <w:szCs w:val="30"/>
        </w:rPr>
        <w:t>资源质量信息和评价结果，并定期编制发布公报或简报，为各级政府、各行业部门决策与监督提供依据。</w:t>
      </w:r>
    </w:p>
    <w:p>
      <w:pPr>
        <w:adjustRightInd w:val="0"/>
        <w:snapToGrid w:val="0"/>
        <w:spacing w:line="560" w:lineRule="exact"/>
        <w:ind w:firstLine="643" w:firstLineChars="200"/>
        <w:outlineLvl w:val="1"/>
        <w:rPr>
          <w:rFonts w:ascii="Times New Roman" w:hAnsi="Times New Roman" w:eastAsia="仿宋" w:cs="Times New Roman"/>
          <w:b/>
          <w:sz w:val="32"/>
          <w:szCs w:val="32"/>
        </w:rPr>
      </w:pPr>
      <w:bookmarkStart w:id="51" w:name="_Toc68713489"/>
      <w:bookmarkStart w:id="52" w:name="_Toc153706334"/>
      <w:r>
        <w:rPr>
          <w:rFonts w:ascii="Times New Roman" w:hAnsi="Times New Roman" w:eastAsia="仿宋" w:cs="Times New Roman"/>
          <w:b/>
          <w:sz w:val="32"/>
          <w:szCs w:val="32"/>
        </w:rPr>
        <w:t>（三）设置重要功能区标志和建立日常巡查机制</w:t>
      </w:r>
      <w:bookmarkEnd w:id="49"/>
      <w:bookmarkEnd w:id="50"/>
      <w:bookmarkEnd w:id="51"/>
      <w:bookmarkEnd w:id="52"/>
    </w:p>
    <w:p>
      <w:pPr>
        <w:spacing w:line="560" w:lineRule="exact"/>
        <w:ind w:firstLine="600" w:firstLineChars="200"/>
        <w:rPr>
          <w:rFonts w:ascii="Times New Roman" w:hAnsi="Times New Roman" w:eastAsia="仿宋"/>
          <w:sz w:val="30"/>
          <w:szCs w:val="30"/>
        </w:rPr>
      </w:pPr>
      <w:bookmarkStart w:id="53" w:name="_Toc373937901"/>
      <w:bookmarkStart w:id="54" w:name="_Toc386962222"/>
      <w:r>
        <w:rPr>
          <w:rFonts w:ascii="仿宋" w:hAnsi="仿宋" w:eastAsia="仿宋"/>
          <w:sz w:val="30"/>
          <w:szCs w:val="30"/>
        </w:rPr>
        <w:t>对重点河段及各功能区的控制断面设置明显的标志，标志中应明确标明水功能区的主要功能、水质保护目标、管理范围以及要求禁止的开发活动等</w:t>
      </w:r>
      <w:r>
        <w:rPr>
          <w:rFonts w:hint="eastAsia" w:ascii="仿宋" w:hAnsi="仿宋" w:eastAsia="仿宋"/>
          <w:sz w:val="30"/>
          <w:szCs w:val="30"/>
        </w:rPr>
        <w:t>。加强水环境保护的宣传教育，明确责任单位和个人，强化水功能区的管理，尤其要重点依法加强城镇居民生活饮用水水环境的保护。</w:t>
      </w:r>
      <w:r>
        <w:rPr>
          <w:rFonts w:ascii="仿宋" w:hAnsi="仿宋" w:eastAsia="仿宋"/>
          <w:sz w:val="30"/>
          <w:szCs w:val="30"/>
        </w:rPr>
        <w:t>加强河段及</w:t>
      </w:r>
      <w:r>
        <w:rPr>
          <w:rFonts w:hint="eastAsia" w:ascii="仿宋" w:hAnsi="仿宋" w:eastAsia="仿宋"/>
          <w:sz w:val="30"/>
          <w:szCs w:val="30"/>
        </w:rPr>
        <w:t>监测</w:t>
      </w:r>
      <w:r>
        <w:rPr>
          <w:rFonts w:ascii="仿宋" w:hAnsi="仿宋" w:eastAsia="仿宋"/>
          <w:sz w:val="30"/>
          <w:szCs w:val="30"/>
        </w:rPr>
        <w:t>断面的水资源保护和管理，提高水污染的防范意识。建立岗位责任制，及时发现问题，及时采取有效措施解决问题，避免因污染扩大或加剧引发的水质恶化等问题。</w:t>
      </w:r>
      <w:r>
        <w:rPr>
          <w:rFonts w:ascii="Times New Roman" w:hAnsi="Times New Roman" w:eastAsia="仿宋"/>
          <w:sz w:val="30"/>
          <w:szCs w:val="30"/>
        </w:rPr>
        <w:t xml:space="preserve"> </w:t>
      </w:r>
    </w:p>
    <w:p>
      <w:pPr>
        <w:adjustRightInd w:val="0"/>
        <w:snapToGrid w:val="0"/>
        <w:spacing w:line="560" w:lineRule="exact"/>
        <w:ind w:firstLine="643" w:firstLineChars="200"/>
        <w:outlineLvl w:val="1"/>
        <w:rPr>
          <w:rFonts w:ascii="Times New Roman" w:hAnsi="Times New Roman" w:eastAsia="仿宋" w:cs="Times New Roman"/>
          <w:b/>
          <w:sz w:val="32"/>
          <w:szCs w:val="32"/>
        </w:rPr>
      </w:pPr>
      <w:bookmarkStart w:id="55" w:name="_Toc68713490"/>
      <w:bookmarkStart w:id="56" w:name="_Toc153706335"/>
      <w:r>
        <w:rPr>
          <w:rFonts w:ascii="Times New Roman" w:hAnsi="Times New Roman" w:eastAsia="仿宋" w:cs="Times New Roman"/>
          <w:b/>
          <w:sz w:val="32"/>
          <w:szCs w:val="32"/>
        </w:rPr>
        <w:t>（四）加强功能区管理的协调工作</w:t>
      </w:r>
      <w:bookmarkEnd w:id="53"/>
      <w:bookmarkEnd w:id="54"/>
      <w:bookmarkEnd w:id="55"/>
      <w:bookmarkEnd w:id="56"/>
    </w:p>
    <w:p>
      <w:pPr>
        <w:spacing w:line="560" w:lineRule="exact"/>
        <w:ind w:firstLine="600" w:firstLineChars="200"/>
        <w:rPr>
          <w:rFonts w:ascii="Times New Roman" w:hAnsi="Times New Roman" w:eastAsia="仿宋"/>
          <w:sz w:val="30"/>
          <w:szCs w:val="30"/>
        </w:rPr>
      </w:pPr>
      <w:bookmarkStart w:id="57" w:name="_Toc373937902"/>
      <w:bookmarkStart w:id="58" w:name="_Toc386962223"/>
      <w:r>
        <w:rPr>
          <w:rFonts w:ascii="仿宋" w:hAnsi="仿宋" w:eastAsia="仿宋"/>
          <w:sz w:val="30"/>
          <w:szCs w:val="30"/>
        </w:rPr>
        <w:t>水功能区划的实施涉及许多相关部门，要在同级政府领导下做好协调工作，包括水污染防治管理、城市集中供水水源地及大型企业取水口规划设置等。建立多部门信息共享制度</w:t>
      </w:r>
      <w:r>
        <w:rPr>
          <w:rFonts w:hint="eastAsia" w:ascii="仿宋" w:hAnsi="仿宋" w:eastAsia="仿宋"/>
          <w:sz w:val="30"/>
          <w:szCs w:val="30"/>
        </w:rPr>
        <w:t>，</w:t>
      </w:r>
      <w:r>
        <w:rPr>
          <w:rFonts w:ascii="仿宋" w:hAnsi="仿宋" w:eastAsia="仿宋"/>
          <w:sz w:val="30"/>
          <w:szCs w:val="30"/>
        </w:rPr>
        <w:t>要特别重视地方与兵团、环保与水利在水环境管理方面的协调，充分发挥各部门作用，提高管理效率。</w:t>
      </w:r>
      <w:r>
        <w:rPr>
          <w:rFonts w:hint="eastAsia" w:ascii="仿宋" w:hAnsi="仿宋" w:eastAsia="仿宋"/>
          <w:sz w:val="30"/>
          <w:szCs w:val="30"/>
        </w:rPr>
        <w:t>加强</w:t>
      </w:r>
      <w:r>
        <w:rPr>
          <w:rFonts w:ascii="仿宋" w:hAnsi="仿宋" w:eastAsia="仿宋"/>
          <w:sz w:val="30"/>
          <w:szCs w:val="30"/>
        </w:rPr>
        <w:t>环保、水利、城建等部门协作，实现供水水厂与饮用水源地水质监测、污染源排污与流域水文水资源监测、城镇基础设施建设与运行监管等信息共享。</w:t>
      </w:r>
    </w:p>
    <w:bookmarkEnd w:id="57"/>
    <w:bookmarkEnd w:id="58"/>
    <w:p>
      <w:pPr>
        <w:adjustRightInd w:val="0"/>
        <w:snapToGrid w:val="0"/>
        <w:spacing w:line="560" w:lineRule="exact"/>
        <w:outlineLvl w:val="0"/>
        <w:rPr>
          <w:rFonts w:ascii="Times New Roman" w:hAnsi="Times New Roman" w:eastAsia="仿宋" w:cs="Times New Roman"/>
          <w:b/>
          <w:sz w:val="28"/>
          <w:szCs w:val="28"/>
        </w:rPr>
      </w:pPr>
      <w:bookmarkStart w:id="59" w:name="_Toc153706336"/>
      <w:bookmarkStart w:id="60" w:name="_Toc68713491"/>
      <w:r>
        <w:rPr>
          <w:rFonts w:hint="eastAsia" w:ascii="Times New Roman" w:hAnsi="Times New Roman" w:eastAsia="仿宋" w:cs="Times New Roman"/>
          <w:b/>
          <w:sz w:val="32"/>
          <w:szCs w:val="32"/>
        </w:rPr>
        <w:t>六</w:t>
      </w:r>
      <w:r>
        <w:rPr>
          <w:rFonts w:ascii="Times New Roman" w:hAnsi="Times New Roman" w:eastAsia="仿宋" w:cs="Times New Roman"/>
          <w:b/>
          <w:sz w:val="32"/>
          <w:szCs w:val="32"/>
        </w:rPr>
        <w:t>、问题和建议</w:t>
      </w:r>
      <w:bookmarkEnd w:id="59"/>
      <w:bookmarkEnd w:id="60"/>
    </w:p>
    <w:p>
      <w:pPr>
        <w:ind w:firstLine="600" w:firstLineChars="200"/>
        <w:rPr>
          <w:rFonts w:ascii="仿宋" w:hAnsi="仿宋" w:eastAsia="仿宋"/>
          <w:sz w:val="30"/>
          <w:szCs w:val="30"/>
        </w:rPr>
      </w:pPr>
      <w:r>
        <w:rPr>
          <w:rFonts w:hint="eastAsia" w:ascii="仿宋" w:hAnsi="仿宋" w:eastAsia="仿宋"/>
          <w:sz w:val="30"/>
          <w:szCs w:val="30"/>
        </w:rPr>
        <w:t>1、增加监测断面。目前监测断面较少，对于</w:t>
      </w:r>
      <w:r>
        <w:rPr>
          <w:rFonts w:ascii="仿宋" w:hAnsi="仿宋" w:eastAsia="仿宋"/>
          <w:sz w:val="30"/>
          <w:szCs w:val="30"/>
        </w:rPr>
        <w:t>现状</w:t>
      </w:r>
      <w:r>
        <w:rPr>
          <w:rFonts w:hint="eastAsia" w:ascii="仿宋" w:hAnsi="仿宋" w:eastAsia="仿宋"/>
          <w:sz w:val="30"/>
          <w:szCs w:val="30"/>
        </w:rPr>
        <w:t>水质的掌握比较欠缺，为</w:t>
      </w:r>
      <w:r>
        <w:rPr>
          <w:rFonts w:ascii="仿宋" w:hAnsi="仿宋" w:eastAsia="仿宋"/>
          <w:sz w:val="30"/>
          <w:szCs w:val="30"/>
        </w:rPr>
        <w:t>确保</w:t>
      </w:r>
      <w:r>
        <w:rPr>
          <w:rFonts w:hint="eastAsia" w:ascii="仿宋" w:hAnsi="仿宋" w:eastAsia="仿宋"/>
          <w:sz w:val="30"/>
          <w:szCs w:val="30"/>
        </w:rPr>
        <w:t>功能区划落地实施，此次区划建议在</w:t>
      </w:r>
      <w:r>
        <w:rPr>
          <w:rFonts w:ascii="仿宋" w:hAnsi="仿宋" w:eastAsia="仿宋"/>
          <w:sz w:val="30"/>
          <w:szCs w:val="30"/>
        </w:rPr>
        <w:t>城镇水域、主要支流交汇前水域、集中式饮用水水源地</w:t>
      </w:r>
      <w:r>
        <w:rPr>
          <w:rFonts w:hint="eastAsia" w:ascii="仿宋" w:hAnsi="仿宋" w:eastAsia="仿宋"/>
          <w:sz w:val="30"/>
          <w:szCs w:val="30"/>
        </w:rPr>
        <w:t>等区域可增加监测断面。</w:t>
      </w:r>
    </w:p>
    <w:p>
      <w:pPr>
        <w:ind w:firstLine="600" w:firstLineChars="200"/>
        <w:rPr>
          <w:rFonts w:ascii="仿宋" w:hAnsi="仿宋" w:eastAsia="仿宋"/>
          <w:sz w:val="30"/>
          <w:szCs w:val="30"/>
        </w:rPr>
      </w:pPr>
      <w:r>
        <w:rPr>
          <w:rFonts w:hint="eastAsia" w:ascii="仿宋" w:hAnsi="仿宋" w:eastAsia="仿宋"/>
          <w:sz w:val="30"/>
          <w:szCs w:val="30"/>
        </w:rPr>
        <w:t>2、建立</w:t>
      </w:r>
      <w:r>
        <w:rPr>
          <w:rFonts w:ascii="仿宋" w:hAnsi="仿宋" w:eastAsia="仿宋"/>
          <w:sz w:val="30"/>
          <w:szCs w:val="30"/>
        </w:rPr>
        <w:t>定期</w:t>
      </w:r>
      <w:r>
        <w:rPr>
          <w:rFonts w:hint="eastAsia" w:ascii="仿宋" w:hAnsi="仿宋" w:eastAsia="仿宋"/>
          <w:sz w:val="30"/>
          <w:szCs w:val="30"/>
        </w:rPr>
        <w:t>更新机制。随着社会经济的发展，生态环境保护政策的实施，水环境、</w:t>
      </w:r>
      <w:r>
        <w:rPr>
          <w:rFonts w:ascii="仿宋" w:hAnsi="仿宋" w:eastAsia="仿宋"/>
          <w:sz w:val="30"/>
          <w:szCs w:val="30"/>
        </w:rPr>
        <w:t>水</w:t>
      </w:r>
      <w:r>
        <w:rPr>
          <w:rFonts w:hint="eastAsia" w:ascii="仿宋" w:hAnsi="仿宋" w:eastAsia="仿宋"/>
          <w:sz w:val="30"/>
          <w:szCs w:val="30"/>
        </w:rPr>
        <w:t>生态等各项管控政策的落地，</w:t>
      </w:r>
      <w:r>
        <w:rPr>
          <w:rFonts w:ascii="仿宋" w:hAnsi="仿宋" w:eastAsia="仿宋"/>
          <w:sz w:val="30"/>
          <w:szCs w:val="30"/>
        </w:rPr>
        <w:t>水资源</w:t>
      </w:r>
      <w:r>
        <w:rPr>
          <w:rFonts w:hint="eastAsia" w:ascii="仿宋" w:hAnsi="仿宋" w:eastAsia="仿宋"/>
          <w:sz w:val="30"/>
          <w:szCs w:val="30"/>
        </w:rPr>
        <w:t>配置的转变等，</w:t>
      </w:r>
      <w:r>
        <w:rPr>
          <w:rFonts w:ascii="仿宋" w:hAnsi="仿宋" w:eastAsia="仿宋"/>
          <w:sz w:val="30"/>
          <w:szCs w:val="30"/>
        </w:rPr>
        <w:t>干渠</w:t>
      </w:r>
      <w:r>
        <w:rPr>
          <w:rFonts w:hint="eastAsia" w:ascii="仿宋" w:hAnsi="仿宋" w:eastAsia="仿宋"/>
          <w:sz w:val="30"/>
          <w:szCs w:val="30"/>
        </w:rPr>
        <w:t>、</w:t>
      </w:r>
      <w:r>
        <w:rPr>
          <w:rFonts w:ascii="仿宋" w:hAnsi="仿宋" w:eastAsia="仿宋"/>
          <w:sz w:val="30"/>
          <w:szCs w:val="30"/>
        </w:rPr>
        <w:t>河流</w:t>
      </w:r>
      <w:r>
        <w:rPr>
          <w:rFonts w:hint="eastAsia" w:ascii="仿宋" w:hAnsi="仿宋" w:eastAsia="仿宋"/>
          <w:sz w:val="30"/>
          <w:szCs w:val="30"/>
        </w:rPr>
        <w:t>水系的数量及其水质目标均会发生相应变化，</w:t>
      </w:r>
      <w:r>
        <w:rPr>
          <w:rFonts w:ascii="仿宋" w:hAnsi="仿宋" w:eastAsia="仿宋"/>
          <w:sz w:val="30"/>
          <w:szCs w:val="30"/>
        </w:rPr>
        <w:t>需</w:t>
      </w:r>
      <w:r>
        <w:rPr>
          <w:rFonts w:hint="eastAsia" w:ascii="仿宋" w:hAnsi="仿宋" w:eastAsia="仿宋"/>
          <w:sz w:val="30"/>
          <w:szCs w:val="30"/>
        </w:rPr>
        <w:t>对水环境功能进行定期更新。</w:t>
      </w:r>
    </w:p>
    <w:p>
      <w:pPr>
        <w:adjustRightInd w:val="0"/>
        <w:snapToGrid w:val="0"/>
        <w:spacing w:line="560" w:lineRule="exact"/>
        <w:rPr>
          <w:rFonts w:ascii="Times New Roman" w:hAnsi="Times New Roman" w:eastAsia="仿宋" w:cs="Times New Roman"/>
          <w:b/>
          <w:sz w:val="28"/>
          <w:szCs w:val="28"/>
        </w:rPr>
      </w:pPr>
    </w:p>
    <w:p>
      <w:pPr>
        <w:spacing w:line="560" w:lineRule="exact"/>
        <w:rPr>
          <w:rFonts w:ascii="Times New Roman" w:hAnsi="Times New Roman" w:cs="Times New Roman"/>
        </w:rPr>
        <w:sectPr>
          <w:pgSz w:w="11906" w:h="16838"/>
          <w:pgMar w:top="1440" w:right="1800" w:bottom="1440" w:left="1800" w:header="851" w:footer="992" w:gutter="0"/>
          <w:pgNumType w:start="1"/>
          <w:cols w:space="425" w:num="1"/>
          <w:docGrid w:type="lines" w:linePitch="312" w:charSpace="0"/>
        </w:sectPr>
      </w:pPr>
    </w:p>
    <w:p>
      <w:pPr>
        <w:pStyle w:val="4"/>
        <w:spacing w:before="0" w:after="0" w:line="240" w:lineRule="auto"/>
        <w:jc w:val="left"/>
        <w:rPr>
          <w:rFonts w:ascii="仿宋" w:hAnsi="仿宋" w:eastAsia="仿宋"/>
          <w:sz w:val="30"/>
          <w:szCs w:val="30"/>
        </w:rPr>
      </w:pPr>
      <w:bookmarkStart w:id="61" w:name="_Toc153706337"/>
      <w:bookmarkStart w:id="62" w:name="_Toc68713492"/>
      <w:r>
        <w:rPr>
          <w:rFonts w:hint="eastAsia" w:ascii="宋体" w:hAnsi="宋体"/>
        </w:rPr>
        <w:t>附图1</w:t>
      </w:r>
      <w:r>
        <w:rPr>
          <w:rFonts w:hint="eastAsia" w:ascii="Times New Roman" w:hAnsi="Times New Roman"/>
        </w:rPr>
        <w:t xml:space="preserve">  </w:t>
      </w:r>
      <w:r>
        <w:rPr>
          <w:rFonts w:hint="eastAsia" w:ascii="宋体" w:hAnsi="宋体"/>
        </w:rPr>
        <w:t>策勒县水功能区划空间分布图</w:t>
      </w:r>
      <w:bookmarkEnd w:id="61"/>
      <w:bookmarkEnd w:id="62"/>
    </w:p>
    <w:p>
      <w:pPr>
        <w:jc w:val="center"/>
        <w:rPr>
          <w:rFonts w:ascii="仿宋" w:hAnsi="仿宋" w:eastAsia="仿宋"/>
          <w:sz w:val="30"/>
          <w:szCs w:val="30"/>
        </w:rPr>
      </w:pPr>
      <w:r>
        <w:drawing>
          <wp:inline distT="0" distB="0" distL="0" distR="0">
            <wp:extent cx="5274310" cy="7170420"/>
            <wp:effectExtent l="0" t="0" r="2540" b="0"/>
            <wp:docPr id="137768444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684445" name="图片 3"/>
                    <pic:cNvPicPr>
                      <a:picLocks noChangeAspect="1" noChangeArrowheads="1"/>
                    </pic:cNvPicPr>
                  </pic:nvPicPr>
                  <pic:blipFill>
                    <a:blip r:embed="rId10" cstate="print">
                      <a:extLst>
                        <a:ext uri="{28A0092B-C50C-407E-A947-70E740481C1C}">
                          <a14:useLocalDpi xmlns:a14="http://schemas.microsoft.com/office/drawing/2010/main" val="0"/>
                        </a:ext>
                      </a:extLst>
                    </a:blip>
                    <a:srcRect b="3873"/>
                    <a:stretch>
                      <a:fillRect/>
                    </a:stretch>
                  </pic:blipFill>
                  <pic:spPr>
                    <a:xfrm>
                      <a:off x="0" y="0"/>
                      <a:ext cx="5274310" cy="7170420"/>
                    </a:xfrm>
                    <a:prstGeom prst="rect">
                      <a:avLst/>
                    </a:prstGeom>
                    <a:noFill/>
                    <a:ln>
                      <a:noFill/>
                    </a:ln>
                  </pic:spPr>
                </pic:pic>
              </a:graphicData>
            </a:graphic>
          </wp:inline>
        </w:drawing>
      </w:r>
    </w:p>
    <w:p>
      <w:pPr>
        <w:jc w:val="center"/>
        <w:rPr>
          <w:rFonts w:ascii="宋体" w:hAnsi="宋体"/>
        </w:rPr>
      </w:pPr>
      <w:bookmarkStart w:id="63" w:name="_Toc68713494"/>
      <w:r>
        <w:rPr>
          <w:rFonts w:ascii="宋体" w:hAnsi="宋体"/>
        </w:rPr>
        <w:br w:type="page"/>
      </w:r>
    </w:p>
    <w:p>
      <w:pPr>
        <w:pStyle w:val="4"/>
        <w:spacing w:before="0" w:after="0" w:line="240" w:lineRule="auto"/>
        <w:jc w:val="left"/>
        <w:rPr>
          <w:rFonts w:ascii="宋体" w:hAnsi="宋体"/>
        </w:rPr>
      </w:pPr>
      <w:bookmarkStart w:id="64" w:name="_Toc153706338"/>
      <w:r>
        <w:rPr>
          <w:rFonts w:hint="eastAsia" w:ascii="宋体" w:hAnsi="宋体"/>
        </w:rPr>
        <w:t>附图</w:t>
      </w:r>
      <w:r>
        <w:rPr>
          <w:rFonts w:ascii="宋体" w:hAnsi="宋体"/>
        </w:rPr>
        <w:t>2</w:t>
      </w:r>
      <w:r>
        <w:rPr>
          <w:rFonts w:hint="eastAsia" w:ascii="Times New Roman" w:hAnsi="Times New Roman"/>
        </w:rPr>
        <w:t xml:space="preserve">  </w:t>
      </w:r>
      <w:r>
        <w:rPr>
          <w:rFonts w:hint="eastAsia" w:ascii="宋体" w:hAnsi="宋体"/>
        </w:rPr>
        <w:t>策勒县水功能区划与敏感区位置关系分布图</w:t>
      </w:r>
      <w:bookmarkEnd w:id="64"/>
    </w:p>
    <w:p>
      <w:pPr>
        <w:jc w:val="center"/>
        <w:rPr>
          <w:rFonts w:ascii="仿宋" w:hAnsi="仿宋" w:eastAsia="仿宋"/>
          <w:sz w:val="30"/>
          <w:szCs w:val="30"/>
        </w:rPr>
      </w:pPr>
      <w:r>
        <w:drawing>
          <wp:inline distT="0" distB="0" distL="0" distR="0">
            <wp:extent cx="5274310" cy="7193280"/>
            <wp:effectExtent l="0" t="0" r="2540" b="7620"/>
            <wp:docPr id="164534585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345851" name="图片 1"/>
                    <pic:cNvPicPr>
                      <a:picLocks noChangeAspect="1" noChangeArrowheads="1"/>
                    </pic:cNvPicPr>
                  </pic:nvPicPr>
                  <pic:blipFill>
                    <a:blip r:embed="rId11" cstate="print">
                      <a:extLst>
                        <a:ext uri="{28A0092B-C50C-407E-A947-70E740481C1C}">
                          <a14:useLocalDpi xmlns:a14="http://schemas.microsoft.com/office/drawing/2010/main" val="0"/>
                        </a:ext>
                      </a:extLst>
                    </a:blip>
                    <a:srcRect b="3567"/>
                    <a:stretch>
                      <a:fillRect/>
                    </a:stretch>
                  </pic:blipFill>
                  <pic:spPr>
                    <a:xfrm>
                      <a:off x="0" y="0"/>
                      <a:ext cx="5274310" cy="7193280"/>
                    </a:xfrm>
                    <a:prstGeom prst="rect">
                      <a:avLst/>
                    </a:prstGeom>
                    <a:noFill/>
                    <a:ln>
                      <a:noFill/>
                    </a:ln>
                  </pic:spPr>
                </pic:pic>
              </a:graphicData>
            </a:graphic>
          </wp:inline>
        </w:drawing>
      </w:r>
    </w:p>
    <w:p>
      <w:pPr>
        <w:pStyle w:val="4"/>
        <w:jc w:val="center"/>
        <w:rPr>
          <w:rFonts w:ascii="宋体" w:hAnsi="宋体"/>
        </w:rPr>
        <w:sectPr>
          <w:pgSz w:w="11906" w:h="16838"/>
          <w:pgMar w:top="1440" w:right="1800" w:bottom="1440" w:left="1800" w:header="851" w:footer="992" w:gutter="0"/>
          <w:cols w:space="425" w:num="1"/>
          <w:docGrid w:type="lines" w:linePitch="312" w:charSpace="0"/>
        </w:sectPr>
      </w:pPr>
    </w:p>
    <w:p>
      <w:pPr>
        <w:pStyle w:val="4"/>
        <w:jc w:val="center"/>
        <w:rPr>
          <w:rFonts w:ascii="宋体" w:hAnsi="宋体"/>
        </w:rPr>
      </w:pPr>
      <w:bookmarkStart w:id="65" w:name="_Toc153706339"/>
      <w:r>
        <w:rPr>
          <w:rFonts w:hint="eastAsia" w:ascii="宋体" w:hAnsi="宋体"/>
        </w:rPr>
        <w:t>附表</w:t>
      </w:r>
      <w:r>
        <w:rPr>
          <w:rFonts w:hint="eastAsia" w:ascii="Times New Roman" w:hAnsi="Times New Roman"/>
        </w:rPr>
        <w:t xml:space="preserve">1  </w:t>
      </w:r>
      <w:r>
        <w:rPr>
          <w:rFonts w:hint="eastAsia" w:ascii="宋体" w:hAnsi="宋体"/>
        </w:rPr>
        <w:t>策勒县河流水功能区划表</w:t>
      </w:r>
      <w:bookmarkEnd w:id="63"/>
      <w:bookmarkEnd w:id="65"/>
    </w:p>
    <w:tbl>
      <w:tblPr>
        <w:tblStyle w:val="14"/>
        <w:tblW w:w="14174" w:type="dxa"/>
        <w:tblInd w:w="0" w:type="dxa"/>
        <w:tblLayout w:type="fixed"/>
        <w:tblCellMar>
          <w:top w:w="0" w:type="dxa"/>
          <w:left w:w="108" w:type="dxa"/>
          <w:bottom w:w="0" w:type="dxa"/>
          <w:right w:w="108" w:type="dxa"/>
        </w:tblCellMar>
      </w:tblPr>
      <w:tblGrid>
        <w:gridCol w:w="557"/>
        <w:gridCol w:w="2544"/>
        <w:gridCol w:w="1340"/>
        <w:gridCol w:w="960"/>
        <w:gridCol w:w="1184"/>
        <w:gridCol w:w="860"/>
        <w:gridCol w:w="1578"/>
        <w:gridCol w:w="1592"/>
        <w:gridCol w:w="1853"/>
        <w:gridCol w:w="775"/>
        <w:gridCol w:w="931"/>
      </w:tblGrid>
      <w:tr>
        <w:tblPrEx>
          <w:tblLayout w:type="fixed"/>
          <w:tblCellMar>
            <w:top w:w="0" w:type="dxa"/>
            <w:left w:w="108" w:type="dxa"/>
            <w:bottom w:w="0" w:type="dxa"/>
            <w:right w:w="108" w:type="dxa"/>
          </w:tblCellMar>
        </w:tblPrEx>
        <w:trPr>
          <w:cantSplit/>
          <w:trHeight w:val="380" w:hRule="atLeast"/>
          <w:tblHeader/>
        </w:trPr>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b/>
                <w:bCs/>
                <w:color w:val="000000"/>
                <w:kern w:val="0"/>
                <w:szCs w:val="21"/>
              </w:rPr>
            </w:pPr>
            <w:r>
              <w:rPr>
                <w:rFonts w:hint="default" w:ascii="Times New Roman" w:hAnsi="Times New Roman" w:eastAsia="仿宋" w:cs="Times New Roman"/>
                <w:b/>
                <w:bCs/>
                <w:color w:val="000000"/>
                <w:kern w:val="0"/>
                <w:szCs w:val="21"/>
              </w:rPr>
              <w:t>编号</w:t>
            </w:r>
          </w:p>
        </w:tc>
        <w:tc>
          <w:tcPr>
            <w:tcW w:w="25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b/>
                <w:bCs/>
                <w:color w:val="000000"/>
                <w:kern w:val="0"/>
                <w:szCs w:val="21"/>
              </w:rPr>
            </w:pPr>
            <w:r>
              <w:rPr>
                <w:rFonts w:hint="default" w:ascii="Times New Roman" w:hAnsi="Times New Roman" w:eastAsia="仿宋" w:cs="Times New Roman"/>
                <w:b/>
                <w:bCs/>
                <w:color w:val="000000"/>
                <w:kern w:val="0"/>
                <w:szCs w:val="21"/>
              </w:rPr>
              <w:t>一级功能区名称</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b/>
                <w:bCs/>
                <w:color w:val="000000"/>
                <w:kern w:val="0"/>
                <w:szCs w:val="21"/>
              </w:rPr>
            </w:pPr>
            <w:r>
              <w:rPr>
                <w:rFonts w:hint="default" w:ascii="Times New Roman" w:hAnsi="Times New Roman" w:eastAsia="仿宋" w:cs="Times New Roman"/>
                <w:b/>
                <w:bCs/>
                <w:color w:val="000000"/>
                <w:kern w:val="0"/>
                <w:szCs w:val="21"/>
              </w:rPr>
              <w:t>二级功能区名称</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b/>
                <w:bCs/>
                <w:color w:val="000000"/>
                <w:kern w:val="0"/>
                <w:szCs w:val="21"/>
              </w:rPr>
            </w:pPr>
            <w:r>
              <w:rPr>
                <w:rFonts w:hint="default" w:ascii="Times New Roman" w:hAnsi="Times New Roman" w:eastAsia="仿宋" w:cs="Times New Roman"/>
                <w:b/>
                <w:bCs/>
                <w:color w:val="000000"/>
                <w:kern w:val="0"/>
                <w:szCs w:val="21"/>
              </w:rPr>
              <w:t>所属水系</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b/>
                <w:bCs/>
                <w:color w:val="000000"/>
                <w:kern w:val="0"/>
                <w:szCs w:val="21"/>
              </w:rPr>
            </w:pPr>
            <w:r>
              <w:rPr>
                <w:rFonts w:hint="default" w:ascii="Times New Roman" w:hAnsi="Times New Roman" w:eastAsia="仿宋" w:cs="Times New Roman"/>
                <w:b/>
                <w:bCs/>
                <w:color w:val="000000"/>
                <w:kern w:val="0"/>
                <w:szCs w:val="21"/>
              </w:rPr>
              <w:t>河流名称</w:t>
            </w:r>
          </w:p>
        </w:tc>
        <w:tc>
          <w:tcPr>
            <w:tcW w:w="8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b/>
                <w:bCs/>
                <w:color w:val="000000"/>
                <w:kern w:val="0"/>
                <w:szCs w:val="21"/>
              </w:rPr>
            </w:pPr>
            <w:r>
              <w:rPr>
                <w:rFonts w:hint="default" w:ascii="Times New Roman" w:hAnsi="Times New Roman" w:eastAsia="仿宋" w:cs="Times New Roman"/>
                <w:b/>
                <w:bCs/>
                <w:color w:val="000000"/>
                <w:kern w:val="0"/>
                <w:szCs w:val="21"/>
              </w:rPr>
              <w:t>一级功能区</w:t>
            </w:r>
          </w:p>
        </w:tc>
        <w:tc>
          <w:tcPr>
            <w:tcW w:w="15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b/>
                <w:bCs/>
                <w:color w:val="000000"/>
                <w:kern w:val="0"/>
                <w:szCs w:val="21"/>
              </w:rPr>
            </w:pPr>
            <w:r>
              <w:rPr>
                <w:rFonts w:hint="default" w:ascii="Times New Roman" w:hAnsi="Times New Roman" w:eastAsia="仿宋" w:cs="Times New Roman"/>
                <w:b/>
                <w:bCs/>
                <w:color w:val="000000"/>
                <w:kern w:val="0"/>
                <w:szCs w:val="21"/>
              </w:rPr>
              <w:t>二级功能区</w:t>
            </w:r>
          </w:p>
        </w:tc>
        <w:tc>
          <w:tcPr>
            <w:tcW w:w="15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b/>
                <w:bCs/>
                <w:color w:val="000000"/>
                <w:kern w:val="0"/>
                <w:szCs w:val="21"/>
              </w:rPr>
            </w:pPr>
            <w:r>
              <w:rPr>
                <w:rFonts w:hint="default" w:ascii="Times New Roman" w:hAnsi="Times New Roman" w:eastAsia="仿宋" w:cs="Times New Roman"/>
                <w:b/>
                <w:bCs/>
                <w:color w:val="000000"/>
                <w:kern w:val="0"/>
                <w:szCs w:val="21"/>
              </w:rPr>
              <w:t>起始点</w:t>
            </w:r>
          </w:p>
        </w:tc>
        <w:tc>
          <w:tcPr>
            <w:tcW w:w="18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b/>
                <w:bCs/>
                <w:color w:val="000000"/>
                <w:kern w:val="0"/>
                <w:szCs w:val="21"/>
              </w:rPr>
            </w:pPr>
            <w:r>
              <w:rPr>
                <w:rFonts w:hint="default" w:ascii="Times New Roman" w:hAnsi="Times New Roman" w:eastAsia="仿宋" w:cs="Times New Roman"/>
                <w:b/>
                <w:bCs/>
                <w:color w:val="000000"/>
                <w:kern w:val="0"/>
                <w:szCs w:val="21"/>
              </w:rPr>
              <w:t>终止点</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b/>
                <w:bCs/>
                <w:color w:val="000000"/>
                <w:kern w:val="0"/>
                <w:szCs w:val="21"/>
              </w:rPr>
            </w:pPr>
            <w:r>
              <w:rPr>
                <w:rFonts w:hint="default" w:ascii="Times New Roman" w:hAnsi="Times New Roman" w:eastAsia="仿宋" w:cs="Times New Roman"/>
                <w:b/>
                <w:bCs/>
                <w:color w:val="000000"/>
                <w:kern w:val="0"/>
                <w:szCs w:val="21"/>
              </w:rPr>
              <w:t>水质目标</w:t>
            </w: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b/>
                <w:bCs/>
                <w:color w:val="000000"/>
                <w:kern w:val="0"/>
                <w:szCs w:val="21"/>
              </w:rPr>
            </w:pPr>
            <w:r>
              <w:rPr>
                <w:rFonts w:hint="default" w:ascii="Times New Roman" w:hAnsi="Times New Roman" w:eastAsia="仿宋" w:cs="Times New Roman"/>
                <w:b/>
                <w:bCs/>
                <w:color w:val="000000"/>
                <w:kern w:val="0"/>
                <w:szCs w:val="21"/>
              </w:rPr>
              <w:t>长度（km）</w:t>
            </w:r>
          </w:p>
        </w:tc>
      </w:tr>
      <w:tr>
        <w:tblPrEx>
          <w:tblLayout w:type="fixed"/>
          <w:tblCellMar>
            <w:top w:w="0" w:type="dxa"/>
            <w:left w:w="108" w:type="dxa"/>
            <w:bottom w:w="0" w:type="dxa"/>
            <w:right w:w="108" w:type="dxa"/>
          </w:tblCellMar>
        </w:tblPrEx>
        <w:trPr>
          <w:cantSplit/>
          <w:trHeight w:val="312" w:hRule="atLeast"/>
        </w:trPr>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1</w:t>
            </w:r>
          </w:p>
        </w:tc>
        <w:tc>
          <w:tcPr>
            <w:tcW w:w="25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克孜勒萨依源头水保护区</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 xml:space="preserve"> </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玉龙喀什河</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克孜勒萨依</w:t>
            </w:r>
          </w:p>
        </w:tc>
        <w:tc>
          <w:tcPr>
            <w:tcW w:w="8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保护区</w:t>
            </w:r>
          </w:p>
        </w:tc>
        <w:tc>
          <w:tcPr>
            <w:tcW w:w="15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源头水保护区</w:t>
            </w:r>
          </w:p>
        </w:tc>
        <w:tc>
          <w:tcPr>
            <w:tcW w:w="34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 xml:space="preserve">全河段 </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Ⅰ</w:t>
            </w: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 xml:space="preserve">8.97 </w:t>
            </w:r>
          </w:p>
        </w:tc>
      </w:tr>
      <w:tr>
        <w:tblPrEx>
          <w:tblLayout w:type="fixed"/>
          <w:tblCellMar>
            <w:top w:w="0" w:type="dxa"/>
            <w:left w:w="108" w:type="dxa"/>
            <w:bottom w:w="0" w:type="dxa"/>
            <w:right w:w="108" w:type="dxa"/>
          </w:tblCellMar>
        </w:tblPrEx>
        <w:trPr>
          <w:cantSplit/>
          <w:trHeight w:val="312" w:hRule="atLeast"/>
        </w:trPr>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2</w:t>
            </w:r>
          </w:p>
        </w:tc>
        <w:tc>
          <w:tcPr>
            <w:tcW w:w="25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阿拉克沙依源头水保护区</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 xml:space="preserve"> </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玉龙喀什河</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阿拉克沙依</w:t>
            </w:r>
          </w:p>
        </w:tc>
        <w:tc>
          <w:tcPr>
            <w:tcW w:w="8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保护区</w:t>
            </w:r>
          </w:p>
        </w:tc>
        <w:tc>
          <w:tcPr>
            <w:tcW w:w="15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源头水保护区</w:t>
            </w:r>
          </w:p>
        </w:tc>
        <w:tc>
          <w:tcPr>
            <w:tcW w:w="34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 xml:space="preserve">全河段 </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Ⅰ</w:t>
            </w: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 xml:space="preserve">80.47 </w:t>
            </w:r>
          </w:p>
        </w:tc>
      </w:tr>
      <w:tr>
        <w:tblPrEx>
          <w:tblLayout w:type="fixed"/>
          <w:tblCellMar>
            <w:top w:w="0" w:type="dxa"/>
            <w:left w:w="108" w:type="dxa"/>
            <w:bottom w:w="0" w:type="dxa"/>
            <w:right w:w="108" w:type="dxa"/>
          </w:tblCellMar>
        </w:tblPrEx>
        <w:trPr>
          <w:cantSplit/>
          <w:trHeight w:val="312" w:hRule="atLeast"/>
        </w:trPr>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3</w:t>
            </w:r>
          </w:p>
        </w:tc>
        <w:tc>
          <w:tcPr>
            <w:tcW w:w="25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玉龙喀什河源头水保护区</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 xml:space="preserve"> </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玉龙喀什河</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玉龙喀什河</w:t>
            </w:r>
          </w:p>
        </w:tc>
        <w:tc>
          <w:tcPr>
            <w:tcW w:w="8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保护区</w:t>
            </w:r>
          </w:p>
        </w:tc>
        <w:tc>
          <w:tcPr>
            <w:tcW w:w="15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源头水保护区</w:t>
            </w:r>
          </w:p>
        </w:tc>
        <w:tc>
          <w:tcPr>
            <w:tcW w:w="15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源头</w:t>
            </w:r>
          </w:p>
        </w:tc>
        <w:tc>
          <w:tcPr>
            <w:tcW w:w="18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阿拉克沙依玉龙喀什河汇合口</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Ⅰ</w:t>
            </w: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 xml:space="preserve">33.42 </w:t>
            </w:r>
          </w:p>
        </w:tc>
      </w:tr>
      <w:tr>
        <w:tblPrEx>
          <w:tblLayout w:type="fixed"/>
          <w:tblCellMar>
            <w:top w:w="0" w:type="dxa"/>
            <w:left w:w="108" w:type="dxa"/>
            <w:bottom w:w="0" w:type="dxa"/>
            <w:right w:w="108" w:type="dxa"/>
          </w:tblCellMar>
        </w:tblPrEx>
        <w:trPr>
          <w:cantSplit/>
          <w:trHeight w:val="312" w:hRule="atLeast"/>
        </w:trPr>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4</w:t>
            </w:r>
          </w:p>
        </w:tc>
        <w:tc>
          <w:tcPr>
            <w:tcW w:w="25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再衣勒克河源头水保护区</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 xml:space="preserve"> </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玉龙喀什河</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再衣勒克河</w:t>
            </w:r>
          </w:p>
        </w:tc>
        <w:tc>
          <w:tcPr>
            <w:tcW w:w="8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保护区</w:t>
            </w:r>
          </w:p>
        </w:tc>
        <w:tc>
          <w:tcPr>
            <w:tcW w:w="15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源头水保护区</w:t>
            </w:r>
          </w:p>
        </w:tc>
        <w:tc>
          <w:tcPr>
            <w:tcW w:w="15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全河段</w:t>
            </w:r>
          </w:p>
        </w:tc>
        <w:tc>
          <w:tcPr>
            <w:tcW w:w="18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 xml:space="preserve"> </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Ⅰ</w:t>
            </w: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 xml:space="preserve">30.23 </w:t>
            </w:r>
          </w:p>
        </w:tc>
      </w:tr>
      <w:tr>
        <w:tblPrEx>
          <w:tblLayout w:type="fixed"/>
          <w:tblCellMar>
            <w:top w:w="0" w:type="dxa"/>
            <w:left w:w="108" w:type="dxa"/>
            <w:bottom w:w="0" w:type="dxa"/>
            <w:right w:w="108" w:type="dxa"/>
          </w:tblCellMar>
        </w:tblPrEx>
        <w:trPr>
          <w:cantSplit/>
          <w:trHeight w:val="312" w:hRule="atLeast"/>
        </w:trPr>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5</w:t>
            </w:r>
          </w:p>
        </w:tc>
        <w:tc>
          <w:tcPr>
            <w:tcW w:w="25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玉龙喀什河源头水保护区</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 xml:space="preserve"> </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玉龙喀什河</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玉龙喀什河</w:t>
            </w:r>
          </w:p>
        </w:tc>
        <w:tc>
          <w:tcPr>
            <w:tcW w:w="8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保护区</w:t>
            </w:r>
          </w:p>
        </w:tc>
        <w:tc>
          <w:tcPr>
            <w:tcW w:w="15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源头水保护区</w:t>
            </w:r>
          </w:p>
        </w:tc>
        <w:tc>
          <w:tcPr>
            <w:tcW w:w="15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阿拉克沙依玉龙喀什河汇合口</w:t>
            </w:r>
          </w:p>
        </w:tc>
        <w:tc>
          <w:tcPr>
            <w:tcW w:w="18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策勒县和田县界</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Ⅰ</w:t>
            </w: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 xml:space="preserve">112.39 </w:t>
            </w:r>
          </w:p>
        </w:tc>
      </w:tr>
      <w:tr>
        <w:tblPrEx>
          <w:tblLayout w:type="fixed"/>
          <w:tblCellMar>
            <w:top w:w="0" w:type="dxa"/>
            <w:left w:w="108" w:type="dxa"/>
            <w:bottom w:w="0" w:type="dxa"/>
            <w:right w:w="108" w:type="dxa"/>
          </w:tblCellMar>
        </w:tblPrEx>
        <w:trPr>
          <w:cantSplit/>
          <w:trHeight w:val="624" w:hRule="atLeast"/>
        </w:trPr>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6</w:t>
            </w:r>
          </w:p>
        </w:tc>
        <w:tc>
          <w:tcPr>
            <w:tcW w:w="25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曲日能代牙源头水生态保护红线保护区</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 xml:space="preserve"> </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策勒河</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曲日能代牙</w:t>
            </w:r>
          </w:p>
        </w:tc>
        <w:tc>
          <w:tcPr>
            <w:tcW w:w="8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保护区</w:t>
            </w:r>
          </w:p>
        </w:tc>
        <w:tc>
          <w:tcPr>
            <w:tcW w:w="15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源头水生态保护红线保护区</w:t>
            </w:r>
          </w:p>
        </w:tc>
        <w:tc>
          <w:tcPr>
            <w:tcW w:w="34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 xml:space="preserve">全河段 </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Ⅰ</w:t>
            </w: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 xml:space="preserve">19.34 </w:t>
            </w:r>
          </w:p>
        </w:tc>
      </w:tr>
      <w:tr>
        <w:tblPrEx>
          <w:tblLayout w:type="fixed"/>
          <w:tblCellMar>
            <w:top w:w="0" w:type="dxa"/>
            <w:left w:w="108" w:type="dxa"/>
            <w:bottom w:w="0" w:type="dxa"/>
            <w:right w:w="108" w:type="dxa"/>
          </w:tblCellMar>
        </w:tblPrEx>
        <w:trPr>
          <w:cantSplit/>
          <w:trHeight w:val="624" w:hRule="atLeast"/>
        </w:trPr>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7</w:t>
            </w:r>
          </w:p>
        </w:tc>
        <w:tc>
          <w:tcPr>
            <w:tcW w:w="25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喀拉塔什代牙源头水生态保护红线保护区</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 xml:space="preserve"> </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策勒河</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喀拉塔什代牙</w:t>
            </w:r>
          </w:p>
        </w:tc>
        <w:tc>
          <w:tcPr>
            <w:tcW w:w="8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保护区</w:t>
            </w:r>
          </w:p>
        </w:tc>
        <w:tc>
          <w:tcPr>
            <w:tcW w:w="15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源头水生态保护红线保护区</w:t>
            </w:r>
          </w:p>
        </w:tc>
        <w:tc>
          <w:tcPr>
            <w:tcW w:w="34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 xml:space="preserve">全河段 </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Ⅰ</w:t>
            </w: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 xml:space="preserve">41.50 </w:t>
            </w:r>
          </w:p>
        </w:tc>
      </w:tr>
      <w:tr>
        <w:tblPrEx>
          <w:tblLayout w:type="fixed"/>
          <w:tblCellMar>
            <w:top w:w="0" w:type="dxa"/>
            <w:left w:w="108" w:type="dxa"/>
            <w:bottom w:w="0" w:type="dxa"/>
            <w:right w:w="108" w:type="dxa"/>
          </w:tblCellMar>
        </w:tblPrEx>
        <w:trPr>
          <w:cantSplit/>
          <w:trHeight w:val="624" w:hRule="atLeast"/>
        </w:trPr>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8</w:t>
            </w:r>
          </w:p>
        </w:tc>
        <w:tc>
          <w:tcPr>
            <w:tcW w:w="25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乌吐克代牙源头水生态保护红线保护区</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 xml:space="preserve"> </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策勒河</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乌吐克代牙</w:t>
            </w:r>
          </w:p>
        </w:tc>
        <w:tc>
          <w:tcPr>
            <w:tcW w:w="8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保护区</w:t>
            </w:r>
          </w:p>
        </w:tc>
        <w:tc>
          <w:tcPr>
            <w:tcW w:w="15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源头水生态保护红线保护区</w:t>
            </w:r>
          </w:p>
        </w:tc>
        <w:tc>
          <w:tcPr>
            <w:tcW w:w="34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 xml:space="preserve">全河段 </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Ⅰ</w:t>
            </w: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 xml:space="preserve">24.78 </w:t>
            </w:r>
          </w:p>
        </w:tc>
      </w:tr>
      <w:tr>
        <w:tblPrEx>
          <w:tblLayout w:type="fixed"/>
          <w:tblCellMar>
            <w:top w:w="0" w:type="dxa"/>
            <w:left w:w="108" w:type="dxa"/>
            <w:bottom w:w="0" w:type="dxa"/>
            <w:right w:w="108" w:type="dxa"/>
          </w:tblCellMar>
        </w:tblPrEx>
        <w:trPr>
          <w:cantSplit/>
          <w:trHeight w:val="624" w:hRule="atLeast"/>
        </w:trPr>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9</w:t>
            </w:r>
          </w:p>
        </w:tc>
        <w:tc>
          <w:tcPr>
            <w:tcW w:w="25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塞日克布垄代牙源头水生态保护红线保护区</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 xml:space="preserve"> </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策勒河</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塞日克布垄代牙</w:t>
            </w:r>
          </w:p>
        </w:tc>
        <w:tc>
          <w:tcPr>
            <w:tcW w:w="8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保护区</w:t>
            </w:r>
          </w:p>
        </w:tc>
        <w:tc>
          <w:tcPr>
            <w:tcW w:w="15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源头水生态保护红线保护区</w:t>
            </w:r>
          </w:p>
        </w:tc>
        <w:tc>
          <w:tcPr>
            <w:tcW w:w="34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 xml:space="preserve">全河段 </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Ⅰ</w:t>
            </w: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 xml:space="preserve">33.28 </w:t>
            </w:r>
          </w:p>
        </w:tc>
      </w:tr>
      <w:tr>
        <w:tblPrEx>
          <w:tblLayout w:type="fixed"/>
          <w:tblCellMar>
            <w:top w:w="0" w:type="dxa"/>
            <w:left w:w="108" w:type="dxa"/>
            <w:bottom w:w="0" w:type="dxa"/>
            <w:right w:w="108" w:type="dxa"/>
          </w:tblCellMar>
        </w:tblPrEx>
        <w:trPr>
          <w:cantSplit/>
          <w:trHeight w:val="312" w:hRule="atLeast"/>
        </w:trPr>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10</w:t>
            </w:r>
          </w:p>
        </w:tc>
        <w:tc>
          <w:tcPr>
            <w:tcW w:w="25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策勒河开发利用区</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策勒河农业用水区</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策勒河</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策勒河</w:t>
            </w:r>
          </w:p>
        </w:tc>
        <w:tc>
          <w:tcPr>
            <w:tcW w:w="8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开发利用区</w:t>
            </w:r>
          </w:p>
        </w:tc>
        <w:tc>
          <w:tcPr>
            <w:tcW w:w="15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农业用水区</w:t>
            </w:r>
          </w:p>
        </w:tc>
        <w:tc>
          <w:tcPr>
            <w:tcW w:w="15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源头</w:t>
            </w:r>
          </w:p>
        </w:tc>
        <w:tc>
          <w:tcPr>
            <w:tcW w:w="18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至下游58.87公里处</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Ⅱ</w:t>
            </w: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 xml:space="preserve">58.88 </w:t>
            </w:r>
          </w:p>
        </w:tc>
      </w:tr>
      <w:tr>
        <w:tblPrEx>
          <w:tblLayout w:type="fixed"/>
          <w:tblCellMar>
            <w:top w:w="0" w:type="dxa"/>
            <w:left w:w="108" w:type="dxa"/>
            <w:bottom w:w="0" w:type="dxa"/>
            <w:right w:w="108" w:type="dxa"/>
          </w:tblCellMar>
        </w:tblPrEx>
        <w:trPr>
          <w:cantSplit/>
          <w:trHeight w:val="312" w:hRule="atLeast"/>
        </w:trPr>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11</w:t>
            </w:r>
          </w:p>
        </w:tc>
        <w:tc>
          <w:tcPr>
            <w:tcW w:w="25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哈龙龙萨依源头水保护区</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 xml:space="preserve"> </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策勒河</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哈龙龙萨依</w:t>
            </w:r>
          </w:p>
        </w:tc>
        <w:tc>
          <w:tcPr>
            <w:tcW w:w="8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保护区</w:t>
            </w:r>
          </w:p>
        </w:tc>
        <w:tc>
          <w:tcPr>
            <w:tcW w:w="15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源头水保护区</w:t>
            </w:r>
          </w:p>
        </w:tc>
        <w:tc>
          <w:tcPr>
            <w:tcW w:w="34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 xml:space="preserve">全河段 </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Ⅱ</w:t>
            </w: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 xml:space="preserve">12.54 </w:t>
            </w:r>
          </w:p>
        </w:tc>
      </w:tr>
      <w:tr>
        <w:tblPrEx>
          <w:tblLayout w:type="fixed"/>
          <w:tblCellMar>
            <w:top w:w="0" w:type="dxa"/>
            <w:left w:w="108" w:type="dxa"/>
            <w:bottom w:w="0" w:type="dxa"/>
            <w:right w:w="108" w:type="dxa"/>
          </w:tblCellMar>
        </w:tblPrEx>
        <w:trPr>
          <w:cantSplit/>
          <w:trHeight w:val="312" w:hRule="atLeast"/>
        </w:trPr>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12</w:t>
            </w:r>
          </w:p>
        </w:tc>
        <w:tc>
          <w:tcPr>
            <w:tcW w:w="25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拉瓦斯萨依源头水保护区</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 xml:space="preserve"> </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策勒河</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拉瓦斯萨依</w:t>
            </w:r>
          </w:p>
        </w:tc>
        <w:tc>
          <w:tcPr>
            <w:tcW w:w="8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保护区</w:t>
            </w:r>
          </w:p>
        </w:tc>
        <w:tc>
          <w:tcPr>
            <w:tcW w:w="15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源头水保护区</w:t>
            </w:r>
          </w:p>
        </w:tc>
        <w:tc>
          <w:tcPr>
            <w:tcW w:w="34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 xml:space="preserve">全河段 </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Ⅱ</w:t>
            </w: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 xml:space="preserve">21.77 </w:t>
            </w:r>
          </w:p>
        </w:tc>
      </w:tr>
      <w:tr>
        <w:tblPrEx>
          <w:tblLayout w:type="fixed"/>
          <w:tblCellMar>
            <w:top w:w="0" w:type="dxa"/>
            <w:left w:w="108" w:type="dxa"/>
            <w:bottom w:w="0" w:type="dxa"/>
            <w:right w:w="108" w:type="dxa"/>
          </w:tblCellMar>
        </w:tblPrEx>
        <w:trPr>
          <w:cantSplit/>
          <w:trHeight w:val="312" w:hRule="atLeast"/>
        </w:trPr>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13</w:t>
            </w:r>
          </w:p>
        </w:tc>
        <w:tc>
          <w:tcPr>
            <w:tcW w:w="25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阿其克苏开发利用区</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阿其克苏农业用水区</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策勒河</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阿其克苏</w:t>
            </w:r>
          </w:p>
        </w:tc>
        <w:tc>
          <w:tcPr>
            <w:tcW w:w="8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开发利用区</w:t>
            </w:r>
          </w:p>
        </w:tc>
        <w:tc>
          <w:tcPr>
            <w:tcW w:w="15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农业用水区</w:t>
            </w:r>
          </w:p>
        </w:tc>
        <w:tc>
          <w:tcPr>
            <w:tcW w:w="34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 xml:space="preserve">全河段 </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Ⅱ</w:t>
            </w: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 xml:space="preserve">16.82 </w:t>
            </w:r>
          </w:p>
        </w:tc>
      </w:tr>
      <w:tr>
        <w:tblPrEx>
          <w:tblLayout w:type="fixed"/>
          <w:tblCellMar>
            <w:top w:w="0" w:type="dxa"/>
            <w:left w:w="108" w:type="dxa"/>
            <w:bottom w:w="0" w:type="dxa"/>
            <w:right w:w="108" w:type="dxa"/>
          </w:tblCellMar>
        </w:tblPrEx>
        <w:trPr>
          <w:cantSplit/>
          <w:trHeight w:val="312" w:hRule="atLeast"/>
        </w:trPr>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14</w:t>
            </w:r>
          </w:p>
        </w:tc>
        <w:tc>
          <w:tcPr>
            <w:tcW w:w="25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秋库吐力源头水保护区</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 xml:space="preserve"> </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策勒河</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秋库吐力</w:t>
            </w:r>
          </w:p>
        </w:tc>
        <w:tc>
          <w:tcPr>
            <w:tcW w:w="8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保护区</w:t>
            </w:r>
          </w:p>
        </w:tc>
        <w:tc>
          <w:tcPr>
            <w:tcW w:w="15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源头水保护区</w:t>
            </w:r>
          </w:p>
        </w:tc>
        <w:tc>
          <w:tcPr>
            <w:tcW w:w="15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源头</w:t>
            </w:r>
          </w:p>
        </w:tc>
        <w:tc>
          <w:tcPr>
            <w:tcW w:w="18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下游15.82公里处</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Ⅱ</w:t>
            </w: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 xml:space="preserve">15.82 </w:t>
            </w:r>
          </w:p>
        </w:tc>
      </w:tr>
      <w:tr>
        <w:tblPrEx>
          <w:tblLayout w:type="fixed"/>
          <w:tblCellMar>
            <w:top w:w="0" w:type="dxa"/>
            <w:left w:w="108" w:type="dxa"/>
            <w:bottom w:w="0" w:type="dxa"/>
            <w:right w:w="108" w:type="dxa"/>
          </w:tblCellMar>
        </w:tblPrEx>
        <w:trPr>
          <w:cantSplit/>
          <w:trHeight w:val="312" w:hRule="atLeast"/>
        </w:trPr>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15</w:t>
            </w:r>
          </w:p>
        </w:tc>
        <w:tc>
          <w:tcPr>
            <w:tcW w:w="25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秋库吐力开发利用区</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秋库吐力农业用水区</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策勒河</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秋库吐力</w:t>
            </w:r>
          </w:p>
        </w:tc>
        <w:tc>
          <w:tcPr>
            <w:tcW w:w="8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开发利用区</w:t>
            </w:r>
          </w:p>
        </w:tc>
        <w:tc>
          <w:tcPr>
            <w:tcW w:w="15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农业用水区</w:t>
            </w:r>
          </w:p>
        </w:tc>
        <w:tc>
          <w:tcPr>
            <w:tcW w:w="15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下游15.82公里处</w:t>
            </w:r>
          </w:p>
        </w:tc>
        <w:tc>
          <w:tcPr>
            <w:tcW w:w="18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入策勒河口</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Ⅱ</w:t>
            </w: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 xml:space="preserve">10.73 </w:t>
            </w:r>
          </w:p>
        </w:tc>
      </w:tr>
      <w:tr>
        <w:tblPrEx>
          <w:tblLayout w:type="fixed"/>
          <w:tblCellMar>
            <w:top w:w="0" w:type="dxa"/>
            <w:left w:w="108" w:type="dxa"/>
            <w:bottom w:w="0" w:type="dxa"/>
            <w:right w:w="108" w:type="dxa"/>
          </w:tblCellMar>
        </w:tblPrEx>
        <w:trPr>
          <w:cantSplit/>
          <w:trHeight w:val="312" w:hRule="atLeast"/>
        </w:trPr>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16</w:t>
            </w:r>
          </w:p>
        </w:tc>
        <w:tc>
          <w:tcPr>
            <w:tcW w:w="25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地伯台牙源头水保护区</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 xml:space="preserve"> </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策勒河</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地伯台牙</w:t>
            </w:r>
          </w:p>
        </w:tc>
        <w:tc>
          <w:tcPr>
            <w:tcW w:w="8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保护区</w:t>
            </w:r>
          </w:p>
        </w:tc>
        <w:tc>
          <w:tcPr>
            <w:tcW w:w="15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源头水保护区</w:t>
            </w:r>
          </w:p>
        </w:tc>
        <w:tc>
          <w:tcPr>
            <w:tcW w:w="15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全河段</w:t>
            </w:r>
          </w:p>
        </w:tc>
        <w:tc>
          <w:tcPr>
            <w:tcW w:w="18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 xml:space="preserve"> </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Ⅱ</w:t>
            </w: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 xml:space="preserve">19.11 </w:t>
            </w:r>
          </w:p>
        </w:tc>
      </w:tr>
      <w:tr>
        <w:tblPrEx>
          <w:tblLayout w:type="fixed"/>
          <w:tblCellMar>
            <w:top w:w="0" w:type="dxa"/>
            <w:left w:w="108" w:type="dxa"/>
            <w:bottom w:w="0" w:type="dxa"/>
            <w:right w:w="108" w:type="dxa"/>
          </w:tblCellMar>
        </w:tblPrEx>
        <w:trPr>
          <w:cantSplit/>
          <w:trHeight w:val="312" w:hRule="atLeast"/>
        </w:trPr>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17</w:t>
            </w:r>
          </w:p>
        </w:tc>
        <w:tc>
          <w:tcPr>
            <w:tcW w:w="25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卡尔苦子源头水保护区</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 xml:space="preserve"> </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策勒河</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卡尔苦子</w:t>
            </w:r>
          </w:p>
        </w:tc>
        <w:tc>
          <w:tcPr>
            <w:tcW w:w="8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保护区</w:t>
            </w:r>
          </w:p>
        </w:tc>
        <w:tc>
          <w:tcPr>
            <w:tcW w:w="15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源头水保护区</w:t>
            </w:r>
          </w:p>
        </w:tc>
        <w:tc>
          <w:tcPr>
            <w:tcW w:w="15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全河段</w:t>
            </w:r>
          </w:p>
        </w:tc>
        <w:tc>
          <w:tcPr>
            <w:tcW w:w="18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 xml:space="preserve"> </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Ⅱ</w:t>
            </w: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 xml:space="preserve">9.79 </w:t>
            </w:r>
          </w:p>
        </w:tc>
      </w:tr>
      <w:tr>
        <w:tblPrEx>
          <w:tblLayout w:type="fixed"/>
          <w:tblCellMar>
            <w:top w:w="0" w:type="dxa"/>
            <w:left w:w="108" w:type="dxa"/>
            <w:bottom w:w="0" w:type="dxa"/>
            <w:right w:w="108" w:type="dxa"/>
          </w:tblCellMar>
        </w:tblPrEx>
        <w:trPr>
          <w:cantSplit/>
          <w:trHeight w:val="312" w:hRule="atLeast"/>
        </w:trPr>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18</w:t>
            </w:r>
          </w:p>
        </w:tc>
        <w:tc>
          <w:tcPr>
            <w:tcW w:w="25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策勒河保留区</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 xml:space="preserve"> </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策勒河</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策勒河</w:t>
            </w:r>
          </w:p>
        </w:tc>
        <w:tc>
          <w:tcPr>
            <w:tcW w:w="8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保留区</w:t>
            </w:r>
          </w:p>
        </w:tc>
        <w:tc>
          <w:tcPr>
            <w:tcW w:w="15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 xml:space="preserve"> </w:t>
            </w:r>
          </w:p>
        </w:tc>
        <w:tc>
          <w:tcPr>
            <w:tcW w:w="15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下游58.87公里处</w:t>
            </w:r>
          </w:p>
        </w:tc>
        <w:tc>
          <w:tcPr>
            <w:tcW w:w="18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下游60.55公里处</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Ⅱ</w:t>
            </w: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 xml:space="preserve">1.67 </w:t>
            </w:r>
          </w:p>
        </w:tc>
      </w:tr>
      <w:tr>
        <w:tblPrEx>
          <w:tblLayout w:type="fixed"/>
          <w:tblCellMar>
            <w:top w:w="0" w:type="dxa"/>
            <w:left w:w="108" w:type="dxa"/>
            <w:bottom w:w="0" w:type="dxa"/>
            <w:right w:w="108" w:type="dxa"/>
          </w:tblCellMar>
        </w:tblPrEx>
        <w:trPr>
          <w:cantSplit/>
          <w:trHeight w:val="312" w:hRule="atLeast"/>
        </w:trPr>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19</w:t>
            </w:r>
          </w:p>
        </w:tc>
        <w:tc>
          <w:tcPr>
            <w:tcW w:w="25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策勒河开发利用区</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策勒河农业用水区</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策勒河</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策勒河</w:t>
            </w:r>
          </w:p>
        </w:tc>
        <w:tc>
          <w:tcPr>
            <w:tcW w:w="8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开发利用区</w:t>
            </w:r>
          </w:p>
        </w:tc>
        <w:tc>
          <w:tcPr>
            <w:tcW w:w="15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农业用水区</w:t>
            </w:r>
          </w:p>
        </w:tc>
        <w:tc>
          <w:tcPr>
            <w:tcW w:w="15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下游60.55公里处</w:t>
            </w:r>
          </w:p>
        </w:tc>
        <w:tc>
          <w:tcPr>
            <w:tcW w:w="18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先锋水库</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Ⅱ</w:t>
            </w: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 xml:space="preserve">33.00 </w:t>
            </w:r>
          </w:p>
        </w:tc>
      </w:tr>
      <w:tr>
        <w:tblPrEx>
          <w:tblLayout w:type="fixed"/>
          <w:tblCellMar>
            <w:top w:w="0" w:type="dxa"/>
            <w:left w:w="108" w:type="dxa"/>
            <w:bottom w:w="0" w:type="dxa"/>
            <w:right w:w="108" w:type="dxa"/>
          </w:tblCellMar>
        </w:tblPrEx>
        <w:trPr>
          <w:cantSplit/>
          <w:trHeight w:val="624" w:hRule="atLeast"/>
        </w:trPr>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20</w:t>
            </w:r>
          </w:p>
        </w:tc>
        <w:tc>
          <w:tcPr>
            <w:tcW w:w="25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帕赫得拉克代里牙源头水保护区</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 xml:space="preserve"> </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帕赫得拉克代里牙</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帕赫得拉克代里牙</w:t>
            </w:r>
          </w:p>
        </w:tc>
        <w:tc>
          <w:tcPr>
            <w:tcW w:w="8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保护区</w:t>
            </w:r>
          </w:p>
        </w:tc>
        <w:tc>
          <w:tcPr>
            <w:tcW w:w="15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源头水保护区</w:t>
            </w:r>
          </w:p>
        </w:tc>
        <w:tc>
          <w:tcPr>
            <w:tcW w:w="15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源头</w:t>
            </w:r>
          </w:p>
        </w:tc>
        <w:tc>
          <w:tcPr>
            <w:tcW w:w="18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出山口</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Ⅱ</w:t>
            </w: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 xml:space="preserve">13.53 </w:t>
            </w:r>
          </w:p>
        </w:tc>
      </w:tr>
      <w:tr>
        <w:tblPrEx>
          <w:tblLayout w:type="fixed"/>
          <w:tblCellMar>
            <w:top w:w="0" w:type="dxa"/>
            <w:left w:w="108" w:type="dxa"/>
            <w:bottom w:w="0" w:type="dxa"/>
            <w:right w:w="108" w:type="dxa"/>
          </w:tblCellMar>
        </w:tblPrEx>
        <w:trPr>
          <w:cantSplit/>
          <w:trHeight w:val="624" w:hRule="atLeast"/>
        </w:trPr>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21</w:t>
            </w:r>
          </w:p>
        </w:tc>
        <w:tc>
          <w:tcPr>
            <w:tcW w:w="25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帕赫得拉克代里牙保留区</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 xml:space="preserve"> </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帕赫得拉克代里牙</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帕赫得拉克代里牙</w:t>
            </w:r>
          </w:p>
        </w:tc>
        <w:tc>
          <w:tcPr>
            <w:tcW w:w="8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保留区</w:t>
            </w:r>
          </w:p>
        </w:tc>
        <w:tc>
          <w:tcPr>
            <w:tcW w:w="15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 xml:space="preserve"> </w:t>
            </w:r>
          </w:p>
        </w:tc>
        <w:tc>
          <w:tcPr>
            <w:tcW w:w="15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出山口</w:t>
            </w:r>
          </w:p>
        </w:tc>
        <w:tc>
          <w:tcPr>
            <w:tcW w:w="18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终点</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Ⅱ</w:t>
            </w: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 xml:space="preserve">10.35 </w:t>
            </w:r>
          </w:p>
        </w:tc>
      </w:tr>
      <w:tr>
        <w:tblPrEx>
          <w:tblLayout w:type="fixed"/>
          <w:tblCellMar>
            <w:top w:w="0" w:type="dxa"/>
            <w:left w:w="108" w:type="dxa"/>
            <w:bottom w:w="0" w:type="dxa"/>
            <w:right w:w="108" w:type="dxa"/>
          </w:tblCellMar>
        </w:tblPrEx>
        <w:trPr>
          <w:cantSplit/>
          <w:trHeight w:val="624" w:hRule="atLeast"/>
        </w:trPr>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22</w:t>
            </w:r>
          </w:p>
        </w:tc>
        <w:tc>
          <w:tcPr>
            <w:tcW w:w="25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恰哈河源头水生态保护红线保护区</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 xml:space="preserve"> </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恰哈河</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恰哈河</w:t>
            </w:r>
          </w:p>
        </w:tc>
        <w:tc>
          <w:tcPr>
            <w:tcW w:w="8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保护区</w:t>
            </w:r>
          </w:p>
        </w:tc>
        <w:tc>
          <w:tcPr>
            <w:tcW w:w="15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源头水生态保护红线保护区</w:t>
            </w:r>
          </w:p>
        </w:tc>
        <w:tc>
          <w:tcPr>
            <w:tcW w:w="15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源头</w:t>
            </w:r>
          </w:p>
        </w:tc>
        <w:tc>
          <w:tcPr>
            <w:tcW w:w="18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策勒县帕米尔-昆仑山水土流失防控生态保护红线区北端</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Ⅰ</w:t>
            </w: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 xml:space="preserve">39.44 </w:t>
            </w:r>
          </w:p>
        </w:tc>
      </w:tr>
      <w:tr>
        <w:tblPrEx>
          <w:tblLayout w:type="fixed"/>
          <w:tblCellMar>
            <w:top w:w="0" w:type="dxa"/>
            <w:left w:w="108" w:type="dxa"/>
            <w:bottom w:w="0" w:type="dxa"/>
            <w:right w:w="108" w:type="dxa"/>
          </w:tblCellMar>
        </w:tblPrEx>
        <w:trPr>
          <w:cantSplit/>
          <w:trHeight w:val="312" w:hRule="atLeast"/>
        </w:trPr>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23</w:t>
            </w:r>
          </w:p>
        </w:tc>
        <w:tc>
          <w:tcPr>
            <w:tcW w:w="25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恰哈河开发利用区</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恰哈河农业用水区</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恰哈河</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恰哈河</w:t>
            </w:r>
          </w:p>
        </w:tc>
        <w:tc>
          <w:tcPr>
            <w:tcW w:w="8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开发利用区</w:t>
            </w:r>
          </w:p>
        </w:tc>
        <w:tc>
          <w:tcPr>
            <w:tcW w:w="15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农业用水区</w:t>
            </w:r>
          </w:p>
        </w:tc>
        <w:tc>
          <w:tcPr>
            <w:tcW w:w="15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生态保护红线边界外</w:t>
            </w:r>
          </w:p>
        </w:tc>
        <w:tc>
          <w:tcPr>
            <w:tcW w:w="18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恰哈乡一水厂河流型水源地南端</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Ⅱ</w:t>
            </w: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 xml:space="preserve">24.26 </w:t>
            </w:r>
          </w:p>
        </w:tc>
      </w:tr>
      <w:tr>
        <w:tblPrEx>
          <w:tblLayout w:type="fixed"/>
          <w:tblCellMar>
            <w:top w:w="0" w:type="dxa"/>
            <w:left w:w="108" w:type="dxa"/>
            <w:bottom w:w="0" w:type="dxa"/>
            <w:right w:w="108" w:type="dxa"/>
          </w:tblCellMar>
        </w:tblPrEx>
        <w:trPr>
          <w:cantSplit/>
          <w:trHeight w:val="312" w:hRule="atLeast"/>
        </w:trPr>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24</w:t>
            </w:r>
          </w:p>
        </w:tc>
        <w:tc>
          <w:tcPr>
            <w:tcW w:w="25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恰哈河开发利用区</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恰哈河饮用水源区</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恰哈河</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恰哈河</w:t>
            </w:r>
          </w:p>
        </w:tc>
        <w:tc>
          <w:tcPr>
            <w:tcW w:w="8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开发利用区</w:t>
            </w:r>
          </w:p>
        </w:tc>
        <w:tc>
          <w:tcPr>
            <w:tcW w:w="15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饮用水源区</w:t>
            </w:r>
          </w:p>
        </w:tc>
        <w:tc>
          <w:tcPr>
            <w:tcW w:w="15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恰哈乡一水厂河流型水源地南端</w:t>
            </w:r>
          </w:p>
        </w:tc>
        <w:tc>
          <w:tcPr>
            <w:tcW w:w="18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恰哈乡一水厂河流型水源地北端</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Ⅱ</w:t>
            </w: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 xml:space="preserve">3.44 </w:t>
            </w:r>
          </w:p>
        </w:tc>
      </w:tr>
      <w:tr>
        <w:tblPrEx>
          <w:tblLayout w:type="fixed"/>
          <w:tblCellMar>
            <w:top w:w="0" w:type="dxa"/>
            <w:left w:w="108" w:type="dxa"/>
            <w:bottom w:w="0" w:type="dxa"/>
            <w:right w:w="108" w:type="dxa"/>
          </w:tblCellMar>
        </w:tblPrEx>
        <w:trPr>
          <w:cantSplit/>
          <w:trHeight w:val="312" w:hRule="atLeast"/>
        </w:trPr>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25</w:t>
            </w:r>
          </w:p>
        </w:tc>
        <w:tc>
          <w:tcPr>
            <w:tcW w:w="25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恰哈河开发利用区</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恰哈河农业用水区</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恰哈河</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恰哈河</w:t>
            </w:r>
          </w:p>
        </w:tc>
        <w:tc>
          <w:tcPr>
            <w:tcW w:w="8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开发利用区</w:t>
            </w:r>
          </w:p>
        </w:tc>
        <w:tc>
          <w:tcPr>
            <w:tcW w:w="15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农业用水区</w:t>
            </w:r>
          </w:p>
        </w:tc>
        <w:tc>
          <w:tcPr>
            <w:tcW w:w="15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恰哈乡一水厂河流型水源地北端</w:t>
            </w:r>
          </w:p>
        </w:tc>
        <w:tc>
          <w:tcPr>
            <w:tcW w:w="18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恰哈乡绿洲区北部</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Ⅱ</w:t>
            </w: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 xml:space="preserve">26.46 </w:t>
            </w:r>
          </w:p>
        </w:tc>
      </w:tr>
      <w:tr>
        <w:tblPrEx>
          <w:tblLayout w:type="fixed"/>
          <w:tblCellMar>
            <w:top w:w="0" w:type="dxa"/>
            <w:left w:w="108" w:type="dxa"/>
            <w:bottom w:w="0" w:type="dxa"/>
            <w:right w:w="108" w:type="dxa"/>
          </w:tblCellMar>
        </w:tblPrEx>
        <w:trPr>
          <w:cantSplit/>
          <w:trHeight w:val="624" w:hRule="atLeast"/>
        </w:trPr>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26</w:t>
            </w:r>
          </w:p>
        </w:tc>
        <w:tc>
          <w:tcPr>
            <w:tcW w:w="25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恰哈河保留区</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 xml:space="preserve"> </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恰哈河</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恰哈河</w:t>
            </w:r>
          </w:p>
        </w:tc>
        <w:tc>
          <w:tcPr>
            <w:tcW w:w="8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保留区</w:t>
            </w:r>
          </w:p>
        </w:tc>
        <w:tc>
          <w:tcPr>
            <w:tcW w:w="15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 xml:space="preserve"> </w:t>
            </w:r>
          </w:p>
        </w:tc>
        <w:tc>
          <w:tcPr>
            <w:tcW w:w="15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恰哈乡绿洲区北部</w:t>
            </w:r>
          </w:p>
        </w:tc>
        <w:tc>
          <w:tcPr>
            <w:tcW w:w="18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策勒县塔里木盆地南缘土地沙化防控生态保护红线区南端</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Ⅱ</w:t>
            </w: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 xml:space="preserve">66.77 </w:t>
            </w:r>
          </w:p>
        </w:tc>
      </w:tr>
      <w:tr>
        <w:tblPrEx>
          <w:tblLayout w:type="fixed"/>
          <w:tblCellMar>
            <w:top w:w="0" w:type="dxa"/>
            <w:left w:w="108" w:type="dxa"/>
            <w:bottom w:w="0" w:type="dxa"/>
            <w:right w:w="108" w:type="dxa"/>
          </w:tblCellMar>
        </w:tblPrEx>
        <w:trPr>
          <w:cantSplit/>
          <w:trHeight w:val="624" w:hRule="atLeast"/>
        </w:trPr>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27</w:t>
            </w:r>
          </w:p>
        </w:tc>
        <w:tc>
          <w:tcPr>
            <w:tcW w:w="25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恰哈河生态保护红线保护区</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 xml:space="preserve"> </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恰哈河</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恰哈河</w:t>
            </w:r>
          </w:p>
        </w:tc>
        <w:tc>
          <w:tcPr>
            <w:tcW w:w="8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保护区</w:t>
            </w:r>
          </w:p>
        </w:tc>
        <w:tc>
          <w:tcPr>
            <w:tcW w:w="15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生态保护红线保护区</w:t>
            </w:r>
          </w:p>
        </w:tc>
        <w:tc>
          <w:tcPr>
            <w:tcW w:w="15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策勒县塔里木盆地南缘土地沙化防控生态保护红线区南端</w:t>
            </w:r>
          </w:p>
        </w:tc>
        <w:tc>
          <w:tcPr>
            <w:tcW w:w="18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策勒县塔里木盆地南缘土地沙化防控生态保护红线区北端</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Ⅱ</w:t>
            </w: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 xml:space="preserve">13.40 </w:t>
            </w:r>
          </w:p>
        </w:tc>
      </w:tr>
      <w:tr>
        <w:tblPrEx>
          <w:tblLayout w:type="fixed"/>
          <w:tblCellMar>
            <w:top w:w="0" w:type="dxa"/>
            <w:left w:w="108" w:type="dxa"/>
            <w:bottom w:w="0" w:type="dxa"/>
            <w:right w:w="108" w:type="dxa"/>
          </w:tblCellMar>
        </w:tblPrEx>
        <w:trPr>
          <w:cantSplit/>
          <w:trHeight w:val="624" w:hRule="atLeast"/>
        </w:trPr>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28</w:t>
            </w:r>
          </w:p>
        </w:tc>
        <w:tc>
          <w:tcPr>
            <w:tcW w:w="25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恰哈河开发利用区</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恰哈河农业用水区</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恰哈河</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恰哈河</w:t>
            </w:r>
          </w:p>
        </w:tc>
        <w:tc>
          <w:tcPr>
            <w:tcW w:w="8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开发利用区</w:t>
            </w:r>
          </w:p>
        </w:tc>
        <w:tc>
          <w:tcPr>
            <w:tcW w:w="15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农业用水区</w:t>
            </w:r>
          </w:p>
        </w:tc>
        <w:tc>
          <w:tcPr>
            <w:tcW w:w="15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策勒县塔里木盆地南缘土地沙化防控生态保护红线区北端</w:t>
            </w:r>
          </w:p>
        </w:tc>
        <w:tc>
          <w:tcPr>
            <w:tcW w:w="18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终点</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Ⅱ</w:t>
            </w: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 xml:space="preserve">20.21 </w:t>
            </w:r>
          </w:p>
        </w:tc>
      </w:tr>
      <w:tr>
        <w:tblPrEx>
          <w:tblLayout w:type="fixed"/>
          <w:tblCellMar>
            <w:top w:w="0" w:type="dxa"/>
            <w:left w:w="108" w:type="dxa"/>
            <w:bottom w:w="0" w:type="dxa"/>
            <w:right w:w="108" w:type="dxa"/>
          </w:tblCellMar>
        </w:tblPrEx>
        <w:trPr>
          <w:cantSplit/>
          <w:trHeight w:val="624" w:hRule="atLeast"/>
        </w:trPr>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29</w:t>
            </w:r>
          </w:p>
        </w:tc>
        <w:tc>
          <w:tcPr>
            <w:tcW w:w="25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玉龙代里亚源头水生态保护红线保护区</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 xml:space="preserve"> </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乌鲁克萨依河</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玉龙代里亚</w:t>
            </w:r>
          </w:p>
        </w:tc>
        <w:tc>
          <w:tcPr>
            <w:tcW w:w="8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保护区</w:t>
            </w:r>
          </w:p>
        </w:tc>
        <w:tc>
          <w:tcPr>
            <w:tcW w:w="15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源头水生态保护红线保护区</w:t>
            </w:r>
          </w:p>
        </w:tc>
        <w:tc>
          <w:tcPr>
            <w:tcW w:w="15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源头</w:t>
            </w:r>
          </w:p>
        </w:tc>
        <w:tc>
          <w:tcPr>
            <w:tcW w:w="18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策勒县帕米尔-昆仑山水土流失防控生态保护红线区北端</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Ⅰ</w:t>
            </w: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 xml:space="preserve">19.30 </w:t>
            </w:r>
          </w:p>
        </w:tc>
      </w:tr>
      <w:tr>
        <w:tblPrEx>
          <w:tblLayout w:type="fixed"/>
          <w:tblCellMar>
            <w:top w:w="0" w:type="dxa"/>
            <w:left w:w="108" w:type="dxa"/>
            <w:bottom w:w="0" w:type="dxa"/>
            <w:right w:w="108" w:type="dxa"/>
          </w:tblCellMar>
        </w:tblPrEx>
        <w:trPr>
          <w:cantSplit/>
          <w:trHeight w:val="624" w:hRule="atLeast"/>
        </w:trPr>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30</w:t>
            </w:r>
          </w:p>
        </w:tc>
        <w:tc>
          <w:tcPr>
            <w:tcW w:w="25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玉龙代里亚开发利用区</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玉龙代里亚农业用水区</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乌鲁克萨依河</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玉龙代里亚</w:t>
            </w:r>
          </w:p>
        </w:tc>
        <w:tc>
          <w:tcPr>
            <w:tcW w:w="8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开发利用区</w:t>
            </w:r>
          </w:p>
        </w:tc>
        <w:tc>
          <w:tcPr>
            <w:tcW w:w="15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农业用水区</w:t>
            </w:r>
          </w:p>
        </w:tc>
        <w:tc>
          <w:tcPr>
            <w:tcW w:w="15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策勒县帕米尔-昆仑山水土流失防控生态保护红线区北端</w:t>
            </w:r>
          </w:p>
        </w:tc>
        <w:tc>
          <w:tcPr>
            <w:tcW w:w="18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入乌鲁克萨依河河口处</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Ⅱ</w:t>
            </w: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 xml:space="preserve">27.28 </w:t>
            </w:r>
          </w:p>
        </w:tc>
      </w:tr>
      <w:tr>
        <w:tblPrEx>
          <w:tblLayout w:type="fixed"/>
          <w:tblCellMar>
            <w:top w:w="0" w:type="dxa"/>
            <w:left w:w="108" w:type="dxa"/>
            <w:bottom w:w="0" w:type="dxa"/>
            <w:right w:w="108" w:type="dxa"/>
          </w:tblCellMar>
        </w:tblPrEx>
        <w:trPr>
          <w:cantSplit/>
          <w:trHeight w:val="624" w:hRule="atLeast"/>
        </w:trPr>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31</w:t>
            </w:r>
          </w:p>
        </w:tc>
        <w:tc>
          <w:tcPr>
            <w:tcW w:w="25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玉龙坎代里亚源头水生态保护红线保护区</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 xml:space="preserve"> </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乌鲁克萨依河</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玉龙坎代里亚</w:t>
            </w:r>
          </w:p>
        </w:tc>
        <w:tc>
          <w:tcPr>
            <w:tcW w:w="8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保护区</w:t>
            </w:r>
          </w:p>
        </w:tc>
        <w:tc>
          <w:tcPr>
            <w:tcW w:w="15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源头水生态保护红线保护区</w:t>
            </w:r>
          </w:p>
        </w:tc>
        <w:tc>
          <w:tcPr>
            <w:tcW w:w="15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源头</w:t>
            </w:r>
          </w:p>
        </w:tc>
        <w:tc>
          <w:tcPr>
            <w:tcW w:w="18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策勒县帕米尔-昆仑山水土流失防控生态保护红线区北端</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Ⅰ</w:t>
            </w: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 xml:space="preserve">16.85 </w:t>
            </w:r>
          </w:p>
        </w:tc>
      </w:tr>
      <w:tr>
        <w:tblPrEx>
          <w:tblLayout w:type="fixed"/>
          <w:tblCellMar>
            <w:top w:w="0" w:type="dxa"/>
            <w:left w:w="108" w:type="dxa"/>
            <w:bottom w:w="0" w:type="dxa"/>
            <w:right w:w="108" w:type="dxa"/>
          </w:tblCellMar>
        </w:tblPrEx>
        <w:trPr>
          <w:cantSplit/>
          <w:trHeight w:val="624" w:hRule="atLeast"/>
        </w:trPr>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32</w:t>
            </w:r>
          </w:p>
        </w:tc>
        <w:tc>
          <w:tcPr>
            <w:tcW w:w="25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玉龙坎代里亚开发利用区</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玉龙坎代里亚农业用水区</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乌鲁克萨依河</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玉龙坎代里亚</w:t>
            </w:r>
          </w:p>
        </w:tc>
        <w:tc>
          <w:tcPr>
            <w:tcW w:w="8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开发利用区</w:t>
            </w:r>
          </w:p>
        </w:tc>
        <w:tc>
          <w:tcPr>
            <w:tcW w:w="15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农业用水区</w:t>
            </w:r>
          </w:p>
        </w:tc>
        <w:tc>
          <w:tcPr>
            <w:tcW w:w="15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策勒县帕米尔-昆仑山水土流失防控生态保护红线区北端</w:t>
            </w:r>
          </w:p>
        </w:tc>
        <w:tc>
          <w:tcPr>
            <w:tcW w:w="18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与玉龙代里亚交汇处</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Ⅱ</w:t>
            </w: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 xml:space="preserve">13.91 </w:t>
            </w:r>
          </w:p>
        </w:tc>
      </w:tr>
      <w:tr>
        <w:tblPrEx>
          <w:tblLayout w:type="fixed"/>
          <w:tblCellMar>
            <w:top w:w="0" w:type="dxa"/>
            <w:left w:w="108" w:type="dxa"/>
            <w:bottom w:w="0" w:type="dxa"/>
            <w:right w:w="108" w:type="dxa"/>
          </w:tblCellMar>
        </w:tblPrEx>
        <w:trPr>
          <w:cantSplit/>
          <w:trHeight w:val="624" w:hRule="atLeast"/>
        </w:trPr>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33</w:t>
            </w:r>
          </w:p>
        </w:tc>
        <w:tc>
          <w:tcPr>
            <w:tcW w:w="25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乌坦拉克代里亚源头水生态保护红线保护区</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 xml:space="preserve"> </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乌鲁克萨依河</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乌坦拉克代里亚</w:t>
            </w:r>
          </w:p>
        </w:tc>
        <w:tc>
          <w:tcPr>
            <w:tcW w:w="8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保护区</w:t>
            </w:r>
          </w:p>
        </w:tc>
        <w:tc>
          <w:tcPr>
            <w:tcW w:w="15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源头水生态保护红线保护区</w:t>
            </w:r>
          </w:p>
        </w:tc>
        <w:tc>
          <w:tcPr>
            <w:tcW w:w="15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源头</w:t>
            </w:r>
          </w:p>
        </w:tc>
        <w:tc>
          <w:tcPr>
            <w:tcW w:w="18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策勒县帕米尔-昆仑山水土流失防控生态保护红线区北端</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Ⅰ</w:t>
            </w: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 xml:space="preserve">15.54 </w:t>
            </w:r>
          </w:p>
        </w:tc>
      </w:tr>
      <w:tr>
        <w:tblPrEx>
          <w:tblLayout w:type="fixed"/>
          <w:tblCellMar>
            <w:top w:w="0" w:type="dxa"/>
            <w:left w:w="108" w:type="dxa"/>
            <w:bottom w:w="0" w:type="dxa"/>
            <w:right w:w="108" w:type="dxa"/>
          </w:tblCellMar>
        </w:tblPrEx>
        <w:trPr>
          <w:cantSplit/>
          <w:trHeight w:val="624" w:hRule="atLeast"/>
        </w:trPr>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34</w:t>
            </w:r>
          </w:p>
        </w:tc>
        <w:tc>
          <w:tcPr>
            <w:tcW w:w="25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乌坦拉克代里亚开发利用区</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乌坦拉克代里亚农业用水区</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乌鲁克萨依河</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乌坦拉克代里亚</w:t>
            </w:r>
          </w:p>
        </w:tc>
        <w:tc>
          <w:tcPr>
            <w:tcW w:w="8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开发利用区</w:t>
            </w:r>
          </w:p>
        </w:tc>
        <w:tc>
          <w:tcPr>
            <w:tcW w:w="15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农业用水区</w:t>
            </w:r>
          </w:p>
        </w:tc>
        <w:tc>
          <w:tcPr>
            <w:tcW w:w="15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策勒县帕米尔-昆仑山水土流失防控生态保护红线区北端</w:t>
            </w:r>
          </w:p>
        </w:tc>
        <w:tc>
          <w:tcPr>
            <w:tcW w:w="18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与玉龙代里亚交汇处</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Ⅱ</w:t>
            </w: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 xml:space="preserve">16.15 </w:t>
            </w:r>
          </w:p>
        </w:tc>
      </w:tr>
      <w:tr>
        <w:tblPrEx>
          <w:tblLayout w:type="fixed"/>
          <w:tblCellMar>
            <w:top w:w="0" w:type="dxa"/>
            <w:left w:w="108" w:type="dxa"/>
            <w:bottom w:w="0" w:type="dxa"/>
            <w:right w:w="108" w:type="dxa"/>
          </w:tblCellMar>
        </w:tblPrEx>
        <w:trPr>
          <w:cantSplit/>
          <w:trHeight w:val="624" w:hRule="atLeast"/>
        </w:trPr>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35</w:t>
            </w:r>
          </w:p>
        </w:tc>
        <w:tc>
          <w:tcPr>
            <w:tcW w:w="25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乌鲁克萨依河源头水生态保护红线保护区</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 xml:space="preserve"> </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乌鲁克萨依河</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乌鲁克萨依河</w:t>
            </w:r>
          </w:p>
        </w:tc>
        <w:tc>
          <w:tcPr>
            <w:tcW w:w="8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保护区</w:t>
            </w:r>
          </w:p>
        </w:tc>
        <w:tc>
          <w:tcPr>
            <w:tcW w:w="15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源头水生态保护红线保护区</w:t>
            </w:r>
          </w:p>
        </w:tc>
        <w:tc>
          <w:tcPr>
            <w:tcW w:w="15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源头</w:t>
            </w:r>
          </w:p>
        </w:tc>
        <w:tc>
          <w:tcPr>
            <w:tcW w:w="18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乌鲁克萨依河饮用水水源地保护区南端</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Ⅰ</w:t>
            </w: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 xml:space="preserve">21.84 </w:t>
            </w:r>
          </w:p>
        </w:tc>
      </w:tr>
      <w:tr>
        <w:tblPrEx>
          <w:tblLayout w:type="fixed"/>
          <w:tblCellMar>
            <w:top w:w="0" w:type="dxa"/>
            <w:left w:w="108" w:type="dxa"/>
            <w:bottom w:w="0" w:type="dxa"/>
            <w:right w:w="108" w:type="dxa"/>
          </w:tblCellMar>
        </w:tblPrEx>
        <w:trPr>
          <w:cantSplit/>
          <w:trHeight w:val="936" w:hRule="atLeast"/>
        </w:trPr>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36</w:t>
            </w:r>
          </w:p>
        </w:tc>
        <w:tc>
          <w:tcPr>
            <w:tcW w:w="25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乌鲁克萨依河源头水生态保护红线、饮用水源保护区</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 xml:space="preserve"> </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乌鲁克萨依河</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乌鲁克萨依河</w:t>
            </w:r>
          </w:p>
        </w:tc>
        <w:tc>
          <w:tcPr>
            <w:tcW w:w="8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保护区</w:t>
            </w:r>
          </w:p>
        </w:tc>
        <w:tc>
          <w:tcPr>
            <w:tcW w:w="15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源头水生态保护红线、饮用水源保护区</w:t>
            </w:r>
          </w:p>
        </w:tc>
        <w:tc>
          <w:tcPr>
            <w:tcW w:w="15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乌鲁克萨依河饮用水水源地保护区南端</w:t>
            </w:r>
          </w:p>
        </w:tc>
        <w:tc>
          <w:tcPr>
            <w:tcW w:w="18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乌鲁克萨依河饮用水水源地保护区北端</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Ⅰ</w:t>
            </w: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 xml:space="preserve">3.97 </w:t>
            </w:r>
          </w:p>
        </w:tc>
      </w:tr>
      <w:tr>
        <w:tblPrEx>
          <w:tblLayout w:type="fixed"/>
          <w:tblCellMar>
            <w:top w:w="0" w:type="dxa"/>
            <w:left w:w="108" w:type="dxa"/>
            <w:bottom w:w="0" w:type="dxa"/>
            <w:right w:w="108" w:type="dxa"/>
          </w:tblCellMar>
        </w:tblPrEx>
        <w:trPr>
          <w:cantSplit/>
          <w:trHeight w:val="624" w:hRule="atLeast"/>
        </w:trPr>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37</w:t>
            </w:r>
          </w:p>
        </w:tc>
        <w:tc>
          <w:tcPr>
            <w:tcW w:w="25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乌鲁克萨依河源头水生态保护红线保护区</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 xml:space="preserve"> </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乌鲁克萨依河</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乌鲁克萨依河</w:t>
            </w:r>
          </w:p>
        </w:tc>
        <w:tc>
          <w:tcPr>
            <w:tcW w:w="8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保护区</w:t>
            </w:r>
          </w:p>
        </w:tc>
        <w:tc>
          <w:tcPr>
            <w:tcW w:w="15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源头水生态保护红线保护区</w:t>
            </w:r>
          </w:p>
        </w:tc>
        <w:tc>
          <w:tcPr>
            <w:tcW w:w="15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乌鲁克萨依河饮用水水源地保护区北端</w:t>
            </w:r>
          </w:p>
        </w:tc>
        <w:tc>
          <w:tcPr>
            <w:tcW w:w="18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策勒县帕米尔-昆仑山水土流失防控生态保护红线区北端</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Ⅰ</w:t>
            </w: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 xml:space="preserve">2.91 </w:t>
            </w:r>
          </w:p>
        </w:tc>
      </w:tr>
      <w:tr>
        <w:tblPrEx>
          <w:tblLayout w:type="fixed"/>
          <w:tblCellMar>
            <w:top w:w="0" w:type="dxa"/>
            <w:left w:w="108" w:type="dxa"/>
            <w:bottom w:w="0" w:type="dxa"/>
            <w:right w:w="108" w:type="dxa"/>
          </w:tblCellMar>
        </w:tblPrEx>
        <w:trPr>
          <w:cantSplit/>
          <w:trHeight w:val="624" w:hRule="atLeast"/>
        </w:trPr>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38</w:t>
            </w:r>
          </w:p>
        </w:tc>
        <w:tc>
          <w:tcPr>
            <w:tcW w:w="25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乌鲁克萨依河开发利用区</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乌鲁克萨依河农业用水区</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乌鲁克萨依河</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乌鲁克萨依河</w:t>
            </w:r>
          </w:p>
        </w:tc>
        <w:tc>
          <w:tcPr>
            <w:tcW w:w="8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开发利用区</w:t>
            </w:r>
          </w:p>
        </w:tc>
        <w:tc>
          <w:tcPr>
            <w:tcW w:w="15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农业用水区</w:t>
            </w:r>
          </w:p>
        </w:tc>
        <w:tc>
          <w:tcPr>
            <w:tcW w:w="15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策勒县帕米尔-昆仑山水土流失防控生态保护红线区北端</w:t>
            </w:r>
          </w:p>
        </w:tc>
        <w:tc>
          <w:tcPr>
            <w:tcW w:w="18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与玉龙代里亚交汇处</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Ⅱ</w:t>
            </w: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 xml:space="preserve">20.73 </w:t>
            </w:r>
          </w:p>
        </w:tc>
      </w:tr>
      <w:tr>
        <w:tblPrEx>
          <w:tblLayout w:type="fixed"/>
          <w:tblCellMar>
            <w:top w:w="0" w:type="dxa"/>
            <w:left w:w="108" w:type="dxa"/>
            <w:bottom w:w="0" w:type="dxa"/>
            <w:right w:w="108" w:type="dxa"/>
          </w:tblCellMar>
        </w:tblPrEx>
        <w:trPr>
          <w:cantSplit/>
          <w:trHeight w:val="312" w:hRule="atLeast"/>
        </w:trPr>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39</w:t>
            </w:r>
          </w:p>
        </w:tc>
        <w:tc>
          <w:tcPr>
            <w:tcW w:w="25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乌鲁克萨依河保留区</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 xml:space="preserve"> </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乌鲁克萨依河</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乌鲁克萨依河</w:t>
            </w:r>
          </w:p>
        </w:tc>
        <w:tc>
          <w:tcPr>
            <w:tcW w:w="8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保留区</w:t>
            </w:r>
          </w:p>
        </w:tc>
        <w:tc>
          <w:tcPr>
            <w:tcW w:w="15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 xml:space="preserve"> </w:t>
            </w:r>
          </w:p>
        </w:tc>
        <w:tc>
          <w:tcPr>
            <w:tcW w:w="15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与玉龙代里亚交汇处</w:t>
            </w:r>
          </w:p>
        </w:tc>
        <w:tc>
          <w:tcPr>
            <w:tcW w:w="18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终点</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Ⅱ</w:t>
            </w: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 xml:space="preserve">60.29 </w:t>
            </w:r>
          </w:p>
        </w:tc>
      </w:tr>
      <w:tr>
        <w:tblPrEx>
          <w:tblLayout w:type="fixed"/>
          <w:tblCellMar>
            <w:top w:w="0" w:type="dxa"/>
            <w:left w:w="108" w:type="dxa"/>
            <w:bottom w:w="0" w:type="dxa"/>
            <w:right w:w="108" w:type="dxa"/>
          </w:tblCellMar>
        </w:tblPrEx>
        <w:trPr>
          <w:cantSplit/>
          <w:trHeight w:val="624" w:hRule="atLeast"/>
        </w:trPr>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40</w:t>
            </w:r>
          </w:p>
        </w:tc>
        <w:tc>
          <w:tcPr>
            <w:tcW w:w="25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斯孜玛艾肯沟生态保护红线保护区</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 xml:space="preserve"> </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斯孜玛艾肯沟</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斯孜玛艾肯沟</w:t>
            </w:r>
          </w:p>
        </w:tc>
        <w:tc>
          <w:tcPr>
            <w:tcW w:w="8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保护区</w:t>
            </w:r>
          </w:p>
        </w:tc>
        <w:tc>
          <w:tcPr>
            <w:tcW w:w="15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生态保护红线保护区</w:t>
            </w:r>
          </w:p>
        </w:tc>
        <w:tc>
          <w:tcPr>
            <w:tcW w:w="34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 xml:space="preserve">全河段 </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Ⅱ</w:t>
            </w: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 xml:space="preserve">17.10 </w:t>
            </w:r>
          </w:p>
        </w:tc>
      </w:tr>
      <w:tr>
        <w:tblPrEx>
          <w:tblLayout w:type="fixed"/>
          <w:tblCellMar>
            <w:top w:w="0" w:type="dxa"/>
            <w:left w:w="108" w:type="dxa"/>
            <w:bottom w:w="0" w:type="dxa"/>
            <w:right w:w="108" w:type="dxa"/>
          </w:tblCellMar>
        </w:tblPrEx>
        <w:trPr>
          <w:cantSplit/>
          <w:trHeight w:val="624" w:hRule="atLeast"/>
        </w:trPr>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41</w:t>
            </w:r>
          </w:p>
        </w:tc>
        <w:tc>
          <w:tcPr>
            <w:tcW w:w="25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提约奴哈源头水生态保护红线保护区</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 xml:space="preserve"> </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奴尔河</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提约奴哈</w:t>
            </w:r>
          </w:p>
        </w:tc>
        <w:tc>
          <w:tcPr>
            <w:tcW w:w="8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保护区</w:t>
            </w:r>
          </w:p>
        </w:tc>
        <w:tc>
          <w:tcPr>
            <w:tcW w:w="15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源头水生态保护红线保护区</w:t>
            </w:r>
          </w:p>
        </w:tc>
        <w:tc>
          <w:tcPr>
            <w:tcW w:w="15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源头</w:t>
            </w:r>
          </w:p>
        </w:tc>
        <w:tc>
          <w:tcPr>
            <w:tcW w:w="18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三河汇合口</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Ⅰ</w:t>
            </w: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 xml:space="preserve">20.37 </w:t>
            </w:r>
          </w:p>
        </w:tc>
      </w:tr>
      <w:tr>
        <w:tblPrEx>
          <w:tblLayout w:type="fixed"/>
          <w:tblCellMar>
            <w:top w:w="0" w:type="dxa"/>
            <w:left w:w="108" w:type="dxa"/>
            <w:bottom w:w="0" w:type="dxa"/>
            <w:right w:w="108" w:type="dxa"/>
          </w:tblCellMar>
        </w:tblPrEx>
        <w:trPr>
          <w:cantSplit/>
          <w:trHeight w:val="624" w:hRule="atLeast"/>
        </w:trPr>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42</w:t>
            </w:r>
          </w:p>
        </w:tc>
        <w:tc>
          <w:tcPr>
            <w:tcW w:w="25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大龙源头水生态保护红线保护区</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 xml:space="preserve"> </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奴尔河</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大龙</w:t>
            </w:r>
          </w:p>
        </w:tc>
        <w:tc>
          <w:tcPr>
            <w:tcW w:w="8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保护区</w:t>
            </w:r>
          </w:p>
        </w:tc>
        <w:tc>
          <w:tcPr>
            <w:tcW w:w="15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源头水生态保护红线保护区</w:t>
            </w:r>
          </w:p>
        </w:tc>
        <w:tc>
          <w:tcPr>
            <w:tcW w:w="15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源头</w:t>
            </w:r>
          </w:p>
        </w:tc>
        <w:tc>
          <w:tcPr>
            <w:tcW w:w="18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三河汇合口</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Ⅰ</w:t>
            </w: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 xml:space="preserve">27.94 </w:t>
            </w:r>
          </w:p>
        </w:tc>
      </w:tr>
      <w:tr>
        <w:tblPrEx>
          <w:tblLayout w:type="fixed"/>
          <w:tblCellMar>
            <w:top w:w="0" w:type="dxa"/>
            <w:left w:w="108" w:type="dxa"/>
            <w:bottom w:w="0" w:type="dxa"/>
            <w:right w:w="108" w:type="dxa"/>
          </w:tblCellMar>
        </w:tblPrEx>
        <w:trPr>
          <w:cantSplit/>
          <w:trHeight w:val="624" w:hRule="atLeast"/>
        </w:trPr>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43</w:t>
            </w:r>
          </w:p>
        </w:tc>
        <w:tc>
          <w:tcPr>
            <w:tcW w:w="25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拉龙源头水生态保护红线保护区</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 xml:space="preserve"> </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奴尔河</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拉龙</w:t>
            </w:r>
          </w:p>
        </w:tc>
        <w:tc>
          <w:tcPr>
            <w:tcW w:w="8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保护区</w:t>
            </w:r>
          </w:p>
        </w:tc>
        <w:tc>
          <w:tcPr>
            <w:tcW w:w="15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源头水生态保护红线保护区</w:t>
            </w:r>
          </w:p>
        </w:tc>
        <w:tc>
          <w:tcPr>
            <w:tcW w:w="15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源头</w:t>
            </w:r>
          </w:p>
        </w:tc>
        <w:tc>
          <w:tcPr>
            <w:tcW w:w="18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三河汇合口</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Ⅰ</w:t>
            </w: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 xml:space="preserve">14.81 </w:t>
            </w:r>
          </w:p>
        </w:tc>
      </w:tr>
      <w:tr>
        <w:tblPrEx>
          <w:tblLayout w:type="fixed"/>
          <w:tblCellMar>
            <w:top w:w="0" w:type="dxa"/>
            <w:left w:w="108" w:type="dxa"/>
            <w:bottom w:w="0" w:type="dxa"/>
            <w:right w:w="108" w:type="dxa"/>
          </w:tblCellMar>
        </w:tblPrEx>
        <w:trPr>
          <w:cantSplit/>
          <w:trHeight w:val="936" w:hRule="atLeast"/>
        </w:trPr>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44</w:t>
            </w:r>
          </w:p>
        </w:tc>
        <w:tc>
          <w:tcPr>
            <w:tcW w:w="25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奴尔河源头水生态保护红线、饮用水源保护区</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 xml:space="preserve"> </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奴尔河</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奴尔河</w:t>
            </w:r>
          </w:p>
        </w:tc>
        <w:tc>
          <w:tcPr>
            <w:tcW w:w="8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保护区</w:t>
            </w:r>
          </w:p>
        </w:tc>
        <w:tc>
          <w:tcPr>
            <w:tcW w:w="15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源头水生态保护红线、饮用水源保护区</w:t>
            </w:r>
          </w:p>
        </w:tc>
        <w:tc>
          <w:tcPr>
            <w:tcW w:w="15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三河汇合口</w:t>
            </w:r>
          </w:p>
        </w:tc>
        <w:tc>
          <w:tcPr>
            <w:tcW w:w="18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策勒县帕米尔-昆仑山水土流失防控生态保护红线区北端</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Ⅱ</w:t>
            </w: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 xml:space="preserve">7.41 </w:t>
            </w:r>
          </w:p>
        </w:tc>
      </w:tr>
      <w:tr>
        <w:tblPrEx>
          <w:tblLayout w:type="fixed"/>
          <w:tblCellMar>
            <w:top w:w="0" w:type="dxa"/>
            <w:left w:w="108" w:type="dxa"/>
            <w:bottom w:w="0" w:type="dxa"/>
            <w:right w:w="108" w:type="dxa"/>
          </w:tblCellMar>
        </w:tblPrEx>
        <w:trPr>
          <w:cantSplit/>
          <w:trHeight w:val="312" w:hRule="atLeast"/>
        </w:trPr>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45</w:t>
            </w:r>
          </w:p>
        </w:tc>
        <w:tc>
          <w:tcPr>
            <w:tcW w:w="25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奴尔河开发利用区</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奴尔河农业用水区</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奴尔河</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奴尔河</w:t>
            </w:r>
          </w:p>
        </w:tc>
        <w:tc>
          <w:tcPr>
            <w:tcW w:w="8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开发利用区</w:t>
            </w:r>
          </w:p>
        </w:tc>
        <w:tc>
          <w:tcPr>
            <w:tcW w:w="15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农业用水区</w:t>
            </w:r>
          </w:p>
        </w:tc>
        <w:tc>
          <w:tcPr>
            <w:tcW w:w="15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策勒县奴尔水库饮用水水源地北端</w:t>
            </w:r>
          </w:p>
        </w:tc>
        <w:tc>
          <w:tcPr>
            <w:tcW w:w="18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战斗渠交汇处</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Ⅱ</w:t>
            </w: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 xml:space="preserve">5.60 </w:t>
            </w:r>
          </w:p>
        </w:tc>
      </w:tr>
      <w:tr>
        <w:tblPrEx>
          <w:tblLayout w:type="fixed"/>
          <w:tblCellMar>
            <w:top w:w="0" w:type="dxa"/>
            <w:left w:w="108" w:type="dxa"/>
            <w:bottom w:w="0" w:type="dxa"/>
            <w:right w:w="108" w:type="dxa"/>
          </w:tblCellMar>
        </w:tblPrEx>
        <w:trPr>
          <w:cantSplit/>
          <w:trHeight w:val="624" w:hRule="atLeast"/>
        </w:trPr>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46</w:t>
            </w:r>
          </w:p>
        </w:tc>
        <w:tc>
          <w:tcPr>
            <w:tcW w:w="25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奴尔河开发利用区</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奴尔河饮用水源区</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奴尔河</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奴尔河</w:t>
            </w:r>
          </w:p>
        </w:tc>
        <w:tc>
          <w:tcPr>
            <w:tcW w:w="8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开发利用区</w:t>
            </w:r>
          </w:p>
        </w:tc>
        <w:tc>
          <w:tcPr>
            <w:tcW w:w="15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饮用水源区</w:t>
            </w:r>
          </w:p>
        </w:tc>
        <w:tc>
          <w:tcPr>
            <w:tcW w:w="15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策勒县帕米尔-昆仑山水土流失防控生态保护红线区北端</w:t>
            </w:r>
          </w:p>
        </w:tc>
        <w:tc>
          <w:tcPr>
            <w:tcW w:w="18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策勒县奴尔水库饮用水水源地北端</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Ⅱ</w:t>
            </w: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 xml:space="preserve">2.80 </w:t>
            </w:r>
          </w:p>
        </w:tc>
      </w:tr>
      <w:tr>
        <w:tblPrEx>
          <w:tblLayout w:type="fixed"/>
          <w:tblCellMar>
            <w:top w:w="0" w:type="dxa"/>
            <w:left w:w="108" w:type="dxa"/>
            <w:bottom w:w="0" w:type="dxa"/>
            <w:right w:w="108" w:type="dxa"/>
          </w:tblCellMar>
        </w:tblPrEx>
        <w:trPr>
          <w:cantSplit/>
          <w:trHeight w:val="624" w:hRule="atLeast"/>
        </w:trPr>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47</w:t>
            </w:r>
          </w:p>
        </w:tc>
        <w:tc>
          <w:tcPr>
            <w:tcW w:w="25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战斗渠开发利用区</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战斗渠农业用水区</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奴尔河</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战斗渠</w:t>
            </w:r>
          </w:p>
        </w:tc>
        <w:tc>
          <w:tcPr>
            <w:tcW w:w="8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开发利用区</w:t>
            </w:r>
          </w:p>
        </w:tc>
        <w:tc>
          <w:tcPr>
            <w:tcW w:w="15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农业用水区</w:t>
            </w:r>
          </w:p>
        </w:tc>
        <w:tc>
          <w:tcPr>
            <w:tcW w:w="15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起点</w:t>
            </w:r>
          </w:p>
        </w:tc>
        <w:tc>
          <w:tcPr>
            <w:tcW w:w="18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塔里木盆地南缘土地沙化防控生态保护红线区南端</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Ⅱ</w:t>
            </w: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 xml:space="preserve">65.23 </w:t>
            </w:r>
          </w:p>
        </w:tc>
      </w:tr>
      <w:tr>
        <w:tblPrEx>
          <w:tblLayout w:type="fixed"/>
          <w:tblCellMar>
            <w:top w:w="0" w:type="dxa"/>
            <w:left w:w="108" w:type="dxa"/>
            <w:bottom w:w="0" w:type="dxa"/>
            <w:right w:w="108" w:type="dxa"/>
          </w:tblCellMar>
        </w:tblPrEx>
        <w:trPr>
          <w:cantSplit/>
          <w:trHeight w:val="624" w:hRule="atLeast"/>
        </w:trPr>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48</w:t>
            </w:r>
          </w:p>
        </w:tc>
        <w:tc>
          <w:tcPr>
            <w:tcW w:w="25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斯孜玛艾肯沟生态保护红线保护区</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 xml:space="preserve"> </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奴尔河</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斯孜玛艾肯沟</w:t>
            </w:r>
          </w:p>
        </w:tc>
        <w:tc>
          <w:tcPr>
            <w:tcW w:w="8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保护区</w:t>
            </w:r>
          </w:p>
        </w:tc>
        <w:tc>
          <w:tcPr>
            <w:tcW w:w="15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生态保护红线保护区</w:t>
            </w:r>
          </w:p>
        </w:tc>
        <w:tc>
          <w:tcPr>
            <w:tcW w:w="34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 xml:space="preserve">全河段 </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Ⅱ</w:t>
            </w: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 xml:space="preserve">19.30 </w:t>
            </w:r>
          </w:p>
        </w:tc>
      </w:tr>
      <w:tr>
        <w:tblPrEx>
          <w:tblLayout w:type="fixed"/>
          <w:tblCellMar>
            <w:top w:w="0" w:type="dxa"/>
            <w:left w:w="108" w:type="dxa"/>
            <w:bottom w:w="0" w:type="dxa"/>
            <w:right w:w="108" w:type="dxa"/>
          </w:tblCellMar>
        </w:tblPrEx>
        <w:trPr>
          <w:cantSplit/>
          <w:trHeight w:val="624" w:hRule="atLeast"/>
        </w:trPr>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49</w:t>
            </w:r>
          </w:p>
        </w:tc>
        <w:tc>
          <w:tcPr>
            <w:tcW w:w="25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战斗渠湿地公园保护区</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 xml:space="preserve"> </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奴尔河</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战斗渠</w:t>
            </w:r>
          </w:p>
        </w:tc>
        <w:tc>
          <w:tcPr>
            <w:tcW w:w="8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保护区</w:t>
            </w:r>
          </w:p>
        </w:tc>
        <w:tc>
          <w:tcPr>
            <w:tcW w:w="15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湿地公园保护区</w:t>
            </w:r>
          </w:p>
        </w:tc>
        <w:tc>
          <w:tcPr>
            <w:tcW w:w="15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塔里木盆地南缘土地沙化防控生态保护红线区南端</w:t>
            </w:r>
          </w:p>
        </w:tc>
        <w:tc>
          <w:tcPr>
            <w:tcW w:w="18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丰收水库</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Ⅱ</w:t>
            </w: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 xml:space="preserve">8.85 </w:t>
            </w:r>
          </w:p>
        </w:tc>
      </w:tr>
      <w:tr>
        <w:tblPrEx>
          <w:tblLayout w:type="fixed"/>
          <w:tblCellMar>
            <w:top w:w="0" w:type="dxa"/>
            <w:left w:w="108" w:type="dxa"/>
            <w:bottom w:w="0" w:type="dxa"/>
            <w:right w:w="108" w:type="dxa"/>
          </w:tblCellMar>
        </w:tblPrEx>
        <w:trPr>
          <w:cantSplit/>
          <w:trHeight w:val="312" w:hRule="atLeast"/>
        </w:trPr>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50</w:t>
            </w:r>
          </w:p>
        </w:tc>
        <w:tc>
          <w:tcPr>
            <w:tcW w:w="25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奴尔河开发利用区</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奴尔河农业用水区</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奴尔河</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奴尔河</w:t>
            </w:r>
          </w:p>
        </w:tc>
        <w:tc>
          <w:tcPr>
            <w:tcW w:w="8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开发利用区</w:t>
            </w:r>
          </w:p>
        </w:tc>
        <w:tc>
          <w:tcPr>
            <w:tcW w:w="15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农业用水区</w:t>
            </w:r>
          </w:p>
        </w:tc>
        <w:tc>
          <w:tcPr>
            <w:tcW w:w="15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战斗渠交汇处</w:t>
            </w:r>
          </w:p>
        </w:tc>
        <w:tc>
          <w:tcPr>
            <w:tcW w:w="18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下游13.22公里处</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Ⅱ</w:t>
            </w: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 xml:space="preserve">13.22 </w:t>
            </w:r>
          </w:p>
        </w:tc>
      </w:tr>
      <w:tr>
        <w:tblPrEx>
          <w:tblLayout w:type="fixed"/>
          <w:tblCellMar>
            <w:top w:w="0" w:type="dxa"/>
            <w:left w:w="108" w:type="dxa"/>
            <w:bottom w:w="0" w:type="dxa"/>
            <w:right w:w="108" w:type="dxa"/>
          </w:tblCellMar>
        </w:tblPrEx>
        <w:trPr>
          <w:cantSplit/>
          <w:trHeight w:val="312" w:hRule="atLeast"/>
        </w:trPr>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51</w:t>
            </w:r>
          </w:p>
        </w:tc>
        <w:tc>
          <w:tcPr>
            <w:tcW w:w="25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奴尔河保留区</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 xml:space="preserve"> </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奴尔河</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奴尔河</w:t>
            </w:r>
          </w:p>
        </w:tc>
        <w:tc>
          <w:tcPr>
            <w:tcW w:w="8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保留区</w:t>
            </w:r>
          </w:p>
        </w:tc>
        <w:tc>
          <w:tcPr>
            <w:tcW w:w="15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 xml:space="preserve"> </w:t>
            </w:r>
          </w:p>
        </w:tc>
        <w:tc>
          <w:tcPr>
            <w:tcW w:w="15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下游13.22公里处</w:t>
            </w:r>
          </w:p>
        </w:tc>
        <w:tc>
          <w:tcPr>
            <w:tcW w:w="18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终点</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Ⅱ</w:t>
            </w: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 xml:space="preserve">58.20 </w:t>
            </w:r>
          </w:p>
        </w:tc>
      </w:tr>
      <w:tr>
        <w:tblPrEx>
          <w:tblLayout w:type="fixed"/>
          <w:tblCellMar>
            <w:top w:w="0" w:type="dxa"/>
            <w:left w:w="108" w:type="dxa"/>
            <w:bottom w:w="0" w:type="dxa"/>
            <w:right w:w="108" w:type="dxa"/>
          </w:tblCellMar>
        </w:tblPrEx>
        <w:trPr>
          <w:cantSplit/>
          <w:trHeight w:val="624" w:hRule="atLeast"/>
        </w:trPr>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52</w:t>
            </w:r>
          </w:p>
        </w:tc>
        <w:tc>
          <w:tcPr>
            <w:tcW w:w="25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萨尔龙河源头水生态保护红线保护区</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 xml:space="preserve"> </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萨依巴克河</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萨尔龙河</w:t>
            </w:r>
          </w:p>
        </w:tc>
        <w:tc>
          <w:tcPr>
            <w:tcW w:w="8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保护区</w:t>
            </w:r>
          </w:p>
        </w:tc>
        <w:tc>
          <w:tcPr>
            <w:tcW w:w="15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源头水生态保护红线保护区</w:t>
            </w:r>
          </w:p>
        </w:tc>
        <w:tc>
          <w:tcPr>
            <w:tcW w:w="15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源头</w:t>
            </w:r>
          </w:p>
        </w:tc>
        <w:tc>
          <w:tcPr>
            <w:tcW w:w="18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帕米尔-昆仑山水土流失防控生态保护红线区北端</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Ⅰ</w:t>
            </w: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 xml:space="preserve">22.48 </w:t>
            </w:r>
          </w:p>
        </w:tc>
      </w:tr>
      <w:tr>
        <w:tblPrEx>
          <w:tblLayout w:type="fixed"/>
          <w:tblCellMar>
            <w:top w:w="0" w:type="dxa"/>
            <w:left w:w="108" w:type="dxa"/>
            <w:bottom w:w="0" w:type="dxa"/>
            <w:right w:w="108" w:type="dxa"/>
          </w:tblCellMar>
        </w:tblPrEx>
        <w:trPr>
          <w:cantSplit/>
          <w:trHeight w:val="624" w:hRule="atLeast"/>
        </w:trPr>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53</w:t>
            </w:r>
          </w:p>
        </w:tc>
        <w:tc>
          <w:tcPr>
            <w:tcW w:w="25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萨尔龙河开发利用区</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萨尔龙河农业用水区</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萨依巴克河</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萨尔龙河</w:t>
            </w:r>
          </w:p>
        </w:tc>
        <w:tc>
          <w:tcPr>
            <w:tcW w:w="8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开发利用区</w:t>
            </w:r>
          </w:p>
        </w:tc>
        <w:tc>
          <w:tcPr>
            <w:tcW w:w="15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农业用水区</w:t>
            </w:r>
          </w:p>
        </w:tc>
        <w:tc>
          <w:tcPr>
            <w:tcW w:w="15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帕米尔-昆仑山水土流失防控生态保护红线区北端</w:t>
            </w:r>
          </w:p>
        </w:tc>
        <w:tc>
          <w:tcPr>
            <w:tcW w:w="18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入萨依巴克河河口处</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Ⅱ</w:t>
            </w: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 xml:space="preserve">18.48 </w:t>
            </w:r>
          </w:p>
        </w:tc>
      </w:tr>
      <w:tr>
        <w:tblPrEx>
          <w:tblLayout w:type="fixed"/>
          <w:tblCellMar>
            <w:top w:w="0" w:type="dxa"/>
            <w:left w:w="108" w:type="dxa"/>
            <w:bottom w:w="0" w:type="dxa"/>
            <w:right w:w="108" w:type="dxa"/>
          </w:tblCellMar>
        </w:tblPrEx>
        <w:trPr>
          <w:cantSplit/>
          <w:trHeight w:val="624" w:hRule="atLeast"/>
        </w:trPr>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54</w:t>
            </w:r>
          </w:p>
        </w:tc>
        <w:tc>
          <w:tcPr>
            <w:tcW w:w="25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萨依巴克河源头水生态保护红线保护区</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 xml:space="preserve"> </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萨依巴克河</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萨依巴克河</w:t>
            </w:r>
          </w:p>
        </w:tc>
        <w:tc>
          <w:tcPr>
            <w:tcW w:w="8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保护区</w:t>
            </w:r>
          </w:p>
        </w:tc>
        <w:tc>
          <w:tcPr>
            <w:tcW w:w="15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源头水生态保护红线保护区</w:t>
            </w:r>
          </w:p>
        </w:tc>
        <w:tc>
          <w:tcPr>
            <w:tcW w:w="15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源头</w:t>
            </w:r>
          </w:p>
        </w:tc>
        <w:tc>
          <w:tcPr>
            <w:tcW w:w="18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帕米尔-昆仑山水土流失防控生态保护红线区北端</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Ⅰ</w:t>
            </w: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 xml:space="preserve">25.32 </w:t>
            </w:r>
          </w:p>
        </w:tc>
      </w:tr>
      <w:tr>
        <w:tblPrEx>
          <w:tblLayout w:type="fixed"/>
          <w:tblCellMar>
            <w:top w:w="0" w:type="dxa"/>
            <w:left w:w="108" w:type="dxa"/>
            <w:bottom w:w="0" w:type="dxa"/>
            <w:right w:w="108" w:type="dxa"/>
          </w:tblCellMar>
        </w:tblPrEx>
        <w:trPr>
          <w:cantSplit/>
          <w:trHeight w:val="624" w:hRule="atLeast"/>
        </w:trPr>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55</w:t>
            </w:r>
          </w:p>
        </w:tc>
        <w:tc>
          <w:tcPr>
            <w:tcW w:w="25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萨依巴克河开发利用区</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萨依巴克河饮用水源区</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萨依巴克河</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萨依巴克河</w:t>
            </w:r>
          </w:p>
        </w:tc>
        <w:tc>
          <w:tcPr>
            <w:tcW w:w="8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开发利用区</w:t>
            </w:r>
          </w:p>
        </w:tc>
        <w:tc>
          <w:tcPr>
            <w:tcW w:w="15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饮用水源区</w:t>
            </w:r>
          </w:p>
        </w:tc>
        <w:tc>
          <w:tcPr>
            <w:tcW w:w="15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帕米尔-昆仑山水土流失防控生态保护红线区北端</w:t>
            </w:r>
          </w:p>
        </w:tc>
        <w:tc>
          <w:tcPr>
            <w:tcW w:w="18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奴尔乡萨依巴格水库饮用水水源地北端</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Ⅱ</w:t>
            </w: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 xml:space="preserve">6.34 </w:t>
            </w:r>
          </w:p>
        </w:tc>
      </w:tr>
      <w:tr>
        <w:tblPrEx>
          <w:tblLayout w:type="fixed"/>
          <w:tblCellMar>
            <w:top w:w="0" w:type="dxa"/>
            <w:left w:w="108" w:type="dxa"/>
            <w:bottom w:w="0" w:type="dxa"/>
            <w:right w:w="108" w:type="dxa"/>
          </w:tblCellMar>
        </w:tblPrEx>
        <w:trPr>
          <w:cantSplit/>
          <w:trHeight w:val="624" w:hRule="atLeast"/>
        </w:trPr>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56</w:t>
            </w:r>
          </w:p>
        </w:tc>
        <w:tc>
          <w:tcPr>
            <w:tcW w:w="25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萨依巴克河开发利用区</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萨依巴克河农业用水区</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萨依巴克河</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萨依巴克河</w:t>
            </w:r>
          </w:p>
        </w:tc>
        <w:tc>
          <w:tcPr>
            <w:tcW w:w="8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开发利用区</w:t>
            </w:r>
          </w:p>
        </w:tc>
        <w:tc>
          <w:tcPr>
            <w:tcW w:w="15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农业用水区</w:t>
            </w:r>
          </w:p>
        </w:tc>
        <w:tc>
          <w:tcPr>
            <w:tcW w:w="15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奴尔乡萨依巴格水库饮用水水源地北端</w:t>
            </w:r>
          </w:p>
        </w:tc>
        <w:tc>
          <w:tcPr>
            <w:tcW w:w="18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下游47.36公里处</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Ⅱ</w:t>
            </w: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 xml:space="preserve">15.70 </w:t>
            </w:r>
          </w:p>
        </w:tc>
      </w:tr>
      <w:tr>
        <w:tblPrEx>
          <w:tblLayout w:type="fixed"/>
          <w:tblCellMar>
            <w:top w:w="0" w:type="dxa"/>
            <w:left w:w="108" w:type="dxa"/>
            <w:bottom w:w="0" w:type="dxa"/>
            <w:right w:w="108" w:type="dxa"/>
          </w:tblCellMar>
        </w:tblPrEx>
        <w:trPr>
          <w:cantSplit/>
          <w:trHeight w:val="312" w:hRule="atLeast"/>
        </w:trPr>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57</w:t>
            </w:r>
          </w:p>
        </w:tc>
        <w:tc>
          <w:tcPr>
            <w:tcW w:w="25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萨依巴克河保留区</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 xml:space="preserve"> </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萨依巴克河</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萨依巴克河</w:t>
            </w:r>
          </w:p>
        </w:tc>
        <w:tc>
          <w:tcPr>
            <w:tcW w:w="8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保留区</w:t>
            </w:r>
          </w:p>
        </w:tc>
        <w:tc>
          <w:tcPr>
            <w:tcW w:w="15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 xml:space="preserve"> </w:t>
            </w:r>
          </w:p>
        </w:tc>
        <w:tc>
          <w:tcPr>
            <w:tcW w:w="15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下游47.36公里处</w:t>
            </w:r>
          </w:p>
        </w:tc>
        <w:tc>
          <w:tcPr>
            <w:tcW w:w="18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与奴尔河交汇处</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Ⅱ</w:t>
            </w: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 xml:space="preserve">31.34 </w:t>
            </w:r>
          </w:p>
        </w:tc>
      </w:tr>
      <w:tr>
        <w:tblPrEx>
          <w:tblLayout w:type="fixed"/>
          <w:tblCellMar>
            <w:top w:w="0" w:type="dxa"/>
            <w:left w:w="108" w:type="dxa"/>
            <w:bottom w:w="0" w:type="dxa"/>
            <w:right w:w="108" w:type="dxa"/>
          </w:tblCellMar>
        </w:tblPrEx>
        <w:trPr>
          <w:cantSplit/>
          <w:trHeight w:val="624" w:hRule="atLeast"/>
        </w:trPr>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58</w:t>
            </w:r>
          </w:p>
        </w:tc>
        <w:tc>
          <w:tcPr>
            <w:tcW w:w="25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章代牙源头水生态保护红线保护区</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 xml:space="preserve"> </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布藏河</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章代牙</w:t>
            </w:r>
          </w:p>
        </w:tc>
        <w:tc>
          <w:tcPr>
            <w:tcW w:w="8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保护区</w:t>
            </w:r>
          </w:p>
        </w:tc>
        <w:tc>
          <w:tcPr>
            <w:tcW w:w="15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源头水生态保护红线保护区</w:t>
            </w:r>
          </w:p>
        </w:tc>
        <w:tc>
          <w:tcPr>
            <w:tcW w:w="15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源头</w:t>
            </w:r>
          </w:p>
        </w:tc>
        <w:tc>
          <w:tcPr>
            <w:tcW w:w="18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出山口</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Ⅰ</w:t>
            </w: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 xml:space="preserve">15.46 </w:t>
            </w:r>
          </w:p>
        </w:tc>
      </w:tr>
      <w:tr>
        <w:tblPrEx>
          <w:tblLayout w:type="fixed"/>
          <w:tblCellMar>
            <w:top w:w="0" w:type="dxa"/>
            <w:left w:w="108" w:type="dxa"/>
            <w:bottom w:w="0" w:type="dxa"/>
            <w:right w:w="108" w:type="dxa"/>
          </w:tblCellMar>
        </w:tblPrEx>
        <w:trPr>
          <w:cantSplit/>
          <w:trHeight w:val="312" w:hRule="atLeast"/>
        </w:trPr>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59</w:t>
            </w:r>
          </w:p>
        </w:tc>
        <w:tc>
          <w:tcPr>
            <w:tcW w:w="25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章代牙保留区</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 xml:space="preserve"> </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布藏河</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章代牙</w:t>
            </w:r>
          </w:p>
        </w:tc>
        <w:tc>
          <w:tcPr>
            <w:tcW w:w="8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保留区</w:t>
            </w:r>
          </w:p>
        </w:tc>
        <w:tc>
          <w:tcPr>
            <w:tcW w:w="15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 xml:space="preserve"> </w:t>
            </w:r>
          </w:p>
        </w:tc>
        <w:tc>
          <w:tcPr>
            <w:tcW w:w="15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出山口</w:t>
            </w:r>
          </w:p>
        </w:tc>
        <w:tc>
          <w:tcPr>
            <w:tcW w:w="18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与阿克赛音代牙交汇处</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Ⅱ</w:t>
            </w: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 xml:space="preserve">38.95 </w:t>
            </w:r>
          </w:p>
        </w:tc>
      </w:tr>
      <w:tr>
        <w:tblPrEx>
          <w:tblLayout w:type="fixed"/>
          <w:tblCellMar>
            <w:top w:w="0" w:type="dxa"/>
            <w:left w:w="108" w:type="dxa"/>
            <w:bottom w:w="0" w:type="dxa"/>
            <w:right w:w="108" w:type="dxa"/>
          </w:tblCellMar>
        </w:tblPrEx>
        <w:trPr>
          <w:cantSplit/>
          <w:trHeight w:val="624" w:hRule="atLeast"/>
        </w:trPr>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60</w:t>
            </w:r>
          </w:p>
        </w:tc>
        <w:tc>
          <w:tcPr>
            <w:tcW w:w="25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阿克赛音代牙源头水生态保护红线保护区</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 xml:space="preserve"> </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布藏河</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阿克赛音代牙</w:t>
            </w:r>
          </w:p>
        </w:tc>
        <w:tc>
          <w:tcPr>
            <w:tcW w:w="8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保护区</w:t>
            </w:r>
          </w:p>
        </w:tc>
        <w:tc>
          <w:tcPr>
            <w:tcW w:w="15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源头水生态保护红线保护区</w:t>
            </w:r>
          </w:p>
        </w:tc>
        <w:tc>
          <w:tcPr>
            <w:tcW w:w="15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源头</w:t>
            </w:r>
          </w:p>
        </w:tc>
        <w:tc>
          <w:tcPr>
            <w:tcW w:w="18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策勒县帕米尔-昆仑山水土流失防控生态保护红线区北端</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Ⅰ</w:t>
            </w: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 xml:space="preserve">15.40 </w:t>
            </w:r>
          </w:p>
        </w:tc>
      </w:tr>
      <w:tr>
        <w:tblPrEx>
          <w:tblLayout w:type="fixed"/>
          <w:tblCellMar>
            <w:top w:w="0" w:type="dxa"/>
            <w:left w:w="108" w:type="dxa"/>
            <w:bottom w:w="0" w:type="dxa"/>
            <w:right w:w="108" w:type="dxa"/>
          </w:tblCellMar>
        </w:tblPrEx>
        <w:trPr>
          <w:cantSplit/>
          <w:trHeight w:val="624" w:hRule="atLeast"/>
        </w:trPr>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61</w:t>
            </w:r>
          </w:p>
        </w:tc>
        <w:tc>
          <w:tcPr>
            <w:tcW w:w="25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阿克赛音代牙源头水保护区</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 xml:space="preserve"> </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布藏河</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阿克赛音代牙</w:t>
            </w:r>
          </w:p>
        </w:tc>
        <w:tc>
          <w:tcPr>
            <w:tcW w:w="8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保护区</w:t>
            </w:r>
          </w:p>
        </w:tc>
        <w:tc>
          <w:tcPr>
            <w:tcW w:w="15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源头水保护区</w:t>
            </w:r>
          </w:p>
        </w:tc>
        <w:tc>
          <w:tcPr>
            <w:tcW w:w="15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策勒县帕米尔-昆仑山水土流失防控生态保护红线区北端</w:t>
            </w:r>
          </w:p>
        </w:tc>
        <w:tc>
          <w:tcPr>
            <w:tcW w:w="18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出山口</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Ⅰ</w:t>
            </w: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 xml:space="preserve">22.54 </w:t>
            </w:r>
          </w:p>
        </w:tc>
      </w:tr>
      <w:tr>
        <w:tblPrEx>
          <w:tblLayout w:type="fixed"/>
          <w:tblCellMar>
            <w:top w:w="0" w:type="dxa"/>
            <w:left w:w="108" w:type="dxa"/>
            <w:bottom w:w="0" w:type="dxa"/>
            <w:right w:w="108" w:type="dxa"/>
          </w:tblCellMar>
        </w:tblPrEx>
        <w:trPr>
          <w:cantSplit/>
          <w:trHeight w:val="624" w:hRule="atLeast"/>
        </w:trPr>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62</w:t>
            </w:r>
          </w:p>
        </w:tc>
        <w:tc>
          <w:tcPr>
            <w:tcW w:w="25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阿克赛音代牙开发利用区</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阿克赛音代牙农业用水区</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布藏河</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阿克赛音代牙</w:t>
            </w:r>
          </w:p>
        </w:tc>
        <w:tc>
          <w:tcPr>
            <w:tcW w:w="8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开发利用区</w:t>
            </w:r>
          </w:p>
        </w:tc>
        <w:tc>
          <w:tcPr>
            <w:tcW w:w="15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农业用水区</w:t>
            </w:r>
          </w:p>
        </w:tc>
        <w:tc>
          <w:tcPr>
            <w:tcW w:w="15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出山口</w:t>
            </w:r>
          </w:p>
        </w:tc>
        <w:tc>
          <w:tcPr>
            <w:tcW w:w="18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下游7.47公里处</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Ⅱ</w:t>
            </w: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 xml:space="preserve">15.55 </w:t>
            </w:r>
          </w:p>
        </w:tc>
      </w:tr>
      <w:tr>
        <w:tblPrEx>
          <w:tblLayout w:type="fixed"/>
          <w:tblCellMar>
            <w:top w:w="0" w:type="dxa"/>
            <w:left w:w="108" w:type="dxa"/>
            <w:bottom w:w="0" w:type="dxa"/>
            <w:right w:w="108" w:type="dxa"/>
          </w:tblCellMar>
        </w:tblPrEx>
        <w:trPr>
          <w:cantSplit/>
          <w:trHeight w:val="312" w:hRule="atLeast"/>
        </w:trPr>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63</w:t>
            </w:r>
          </w:p>
        </w:tc>
        <w:tc>
          <w:tcPr>
            <w:tcW w:w="25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阿克赛音代牙保留区</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 xml:space="preserve"> </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布藏河</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阿克赛音代牙</w:t>
            </w:r>
          </w:p>
        </w:tc>
        <w:tc>
          <w:tcPr>
            <w:tcW w:w="8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保留区</w:t>
            </w:r>
          </w:p>
        </w:tc>
        <w:tc>
          <w:tcPr>
            <w:tcW w:w="15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 xml:space="preserve"> </w:t>
            </w:r>
          </w:p>
        </w:tc>
        <w:tc>
          <w:tcPr>
            <w:tcW w:w="15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至下游7.47公里处</w:t>
            </w:r>
          </w:p>
        </w:tc>
        <w:tc>
          <w:tcPr>
            <w:tcW w:w="18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与章代牙交汇处</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Ⅱ</w:t>
            </w: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 xml:space="preserve">17.54 </w:t>
            </w:r>
          </w:p>
        </w:tc>
      </w:tr>
      <w:tr>
        <w:tblPrEx>
          <w:tblLayout w:type="fixed"/>
          <w:tblCellMar>
            <w:top w:w="0" w:type="dxa"/>
            <w:left w:w="108" w:type="dxa"/>
            <w:bottom w:w="0" w:type="dxa"/>
            <w:right w:w="108" w:type="dxa"/>
          </w:tblCellMar>
        </w:tblPrEx>
        <w:trPr>
          <w:cantSplit/>
          <w:trHeight w:val="312" w:hRule="atLeast"/>
        </w:trPr>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64</w:t>
            </w:r>
          </w:p>
        </w:tc>
        <w:tc>
          <w:tcPr>
            <w:tcW w:w="25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布藏河保留区</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 xml:space="preserve"> </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布藏河</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布藏河</w:t>
            </w:r>
          </w:p>
        </w:tc>
        <w:tc>
          <w:tcPr>
            <w:tcW w:w="8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保留区</w:t>
            </w:r>
          </w:p>
        </w:tc>
        <w:tc>
          <w:tcPr>
            <w:tcW w:w="15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 xml:space="preserve"> </w:t>
            </w:r>
          </w:p>
        </w:tc>
        <w:tc>
          <w:tcPr>
            <w:tcW w:w="34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 xml:space="preserve">全河段 </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Ⅱ</w:t>
            </w: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 xml:space="preserve">35.18 </w:t>
            </w:r>
          </w:p>
        </w:tc>
      </w:tr>
      <w:tr>
        <w:tblPrEx>
          <w:tblLayout w:type="fixed"/>
          <w:tblCellMar>
            <w:top w:w="0" w:type="dxa"/>
            <w:left w:w="108" w:type="dxa"/>
            <w:bottom w:w="0" w:type="dxa"/>
            <w:right w:w="108" w:type="dxa"/>
          </w:tblCellMar>
        </w:tblPrEx>
        <w:trPr>
          <w:cantSplit/>
          <w:trHeight w:val="624" w:hRule="atLeast"/>
        </w:trPr>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65</w:t>
            </w:r>
          </w:p>
        </w:tc>
        <w:tc>
          <w:tcPr>
            <w:tcW w:w="25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卡尔苏河源头水生态保护红线保护区</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 xml:space="preserve"> </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卡尔苏河</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卡尔苏河</w:t>
            </w:r>
          </w:p>
        </w:tc>
        <w:tc>
          <w:tcPr>
            <w:tcW w:w="8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保护区</w:t>
            </w:r>
          </w:p>
        </w:tc>
        <w:tc>
          <w:tcPr>
            <w:tcW w:w="15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源头水生态保护红线保护区</w:t>
            </w:r>
          </w:p>
        </w:tc>
        <w:tc>
          <w:tcPr>
            <w:tcW w:w="15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源头</w:t>
            </w:r>
          </w:p>
        </w:tc>
        <w:tc>
          <w:tcPr>
            <w:tcW w:w="18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卡尔苏河饮用水水源地南端</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Ⅰ</w:t>
            </w: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 xml:space="preserve">15.69 </w:t>
            </w:r>
          </w:p>
        </w:tc>
      </w:tr>
      <w:tr>
        <w:tblPrEx>
          <w:tblLayout w:type="fixed"/>
          <w:tblCellMar>
            <w:top w:w="0" w:type="dxa"/>
            <w:left w:w="108" w:type="dxa"/>
            <w:bottom w:w="0" w:type="dxa"/>
            <w:right w:w="108" w:type="dxa"/>
          </w:tblCellMar>
        </w:tblPrEx>
        <w:trPr>
          <w:cantSplit/>
          <w:trHeight w:val="936" w:hRule="atLeast"/>
        </w:trPr>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66</w:t>
            </w:r>
          </w:p>
        </w:tc>
        <w:tc>
          <w:tcPr>
            <w:tcW w:w="25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卡尔苏河源头水生态保护红线、饮用水源保护区</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 xml:space="preserve"> </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卡尔苏河</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卡尔苏河</w:t>
            </w:r>
          </w:p>
        </w:tc>
        <w:tc>
          <w:tcPr>
            <w:tcW w:w="8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保护区</w:t>
            </w:r>
          </w:p>
        </w:tc>
        <w:tc>
          <w:tcPr>
            <w:tcW w:w="15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源头水生态保护红线、饮用水源保护区</w:t>
            </w:r>
          </w:p>
        </w:tc>
        <w:tc>
          <w:tcPr>
            <w:tcW w:w="15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卡尔苏河饮用水水源地南端</w:t>
            </w:r>
          </w:p>
        </w:tc>
        <w:tc>
          <w:tcPr>
            <w:tcW w:w="18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卡尔苏河饮用水水源地北端</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Ⅰ</w:t>
            </w: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 xml:space="preserve">4.46 </w:t>
            </w:r>
          </w:p>
        </w:tc>
      </w:tr>
      <w:tr>
        <w:tblPrEx>
          <w:tblLayout w:type="fixed"/>
          <w:tblCellMar>
            <w:top w:w="0" w:type="dxa"/>
            <w:left w:w="108" w:type="dxa"/>
            <w:bottom w:w="0" w:type="dxa"/>
            <w:right w:w="108" w:type="dxa"/>
          </w:tblCellMar>
        </w:tblPrEx>
        <w:trPr>
          <w:cantSplit/>
          <w:trHeight w:val="312" w:hRule="atLeast"/>
        </w:trPr>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67</w:t>
            </w:r>
          </w:p>
        </w:tc>
        <w:tc>
          <w:tcPr>
            <w:tcW w:w="25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卡尔苏河开发利用区</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卡尔苏河农业用水区</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卡尔苏河</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卡尔苏河</w:t>
            </w:r>
          </w:p>
        </w:tc>
        <w:tc>
          <w:tcPr>
            <w:tcW w:w="8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开发利用区</w:t>
            </w:r>
          </w:p>
        </w:tc>
        <w:tc>
          <w:tcPr>
            <w:tcW w:w="15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农业用水区</w:t>
            </w:r>
          </w:p>
        </w:tc>
        <w:tc>
          <w:tcPr>
            <w:tcW w:w="15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卡尔苏河饮用水水源地北端</w:t>
            </w:r>
          </w:p>
        </w:tc>
        <w:tc>
          <w:tcPr>
            <w:tcW w:w="18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下游42.38公里处</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Ⅱ</w:t>
            </w: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 xml:space="preserve">22.22 </w:t>
            </w:r>
          </w:p>
        </w:tc>
      </w:tr>
      <w:tr>
        <w:tblPrEx>
          <w:tblLayout w:type="fixed"/>
          <w:tblCellMar>
            <w:top w:w="0" w:type="dxa"/>
            <w:left w:w="108" w:type="dxa"/>
            <w:bottom w:w="0" w:type="dxa"/>
            <w:right w:w="108" w:type="dxa"/>
          </w:tblCellMar>
        </w:tblPrEx>
        <w:trPr>
          <w:cantSplit/>
          <w:trHeight w:val="312" w:hRule="atLeast"/>
        </w:trPr>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68</w:t>
            </w:r>
          </w:p>
        </w:tc>
        <w:tc>
          <w:tcPr>
            <w:tcW w:w="25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卡尔苏河保留区</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 xml:space="preserve"> </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卡尔苏河</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卡尔苏河</w:t>
            </w:r>
          </w:p>
        </w:tc>
        <w:tc>
          <w:tcPr>
            <w:tcW w:w="8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保留区</w:t>
            </w:r>
          </w:p>
        </w:tc>
        <w:tc>
          <w:tcPr>
            <w:tcW w:w="15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 xml:space="preserve"> </w:t>
            </w:r>
          </w:p>
        </w:tc>
        <w:tc>
          <w:tcPr>
            <w:tcW w:w="15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下游42.38公里处</w:t>
            </w:r>
          </w:p>
        </w:tc>
        <w:tc>
          <w:tcPr>
            <w:tcW w:w="18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终点</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Ⅱ</w:t>
            </w: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 xml:space="preserve">16.94 </w:t>
            </w:r>
          </w:p>
        </w:tc>
      </w:tr>
      <w:tr>
        <w:tblPrEx>
          <w:tblLayout w:type="fixed"/>
          <w:tblCellMar>
            <w:top w:w="0" w:type="dxa"/>
            <w:left w:w="108" w:type="dxa"/>
            <w:bottom w:w="0" w:type="dxa"/>
            <w:right w:w="108" w:type="dxa"/>
          </w:tblCellMar>
        </w:tblPrEx>
        <w:trPr>
          <w:cantSplit/>
          <w:trHeight w:val="624" w:hRule="atLeast"/>
        </w:trPr>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69</w:t>
            </w:r>
          </w:p>
        </w:tc>
        <w:tc>
          <w:tcPr>
            <w:tcW w:w="25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卡其空其代牙源头水生态保护红线保护区</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 xml:space="preserve"> </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卡尔苏河</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卡其空其代牙</w:t>
            </w:r>
          </w:p>
        </w:tc>
        <w:tc>
          <w:tcPr>
            <w:tcW w:w="8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保护区</w:t>
            </w:r>
          </w:p>
        </w:tc>
        <w:tc>
          <w:tcPr>
            <w:tcW w:w="15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源头水生态保护红线保护区</w:t>
            </w:r>
          </w:p>
        </w:tc>
        <w:tc>
          <w:tcPr>
            <w:tcW w:w="15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源头</w:t>
            </w:r>
          </w:p>
        </w:tc>
        <w:tc>
          <w:tcPr>
            <w:tcW w:w="18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帕米尔-昆仑山水土流失防控生态保护红线区北端</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Ⅱ</w:t>
            </w: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 xml:space="preserve">12.64 </w:t>
            </w:r>
          </w:p>
        </w:tc>
      </w:tr>
      <w:tr>
        <w:tblPrEx>
          <w:tblLayout w:type="fixed"/>
          <w:tblCellMar>
            <w:top w:w="0" w:type="dxa"/>
            <w:left w:w="108" w:type="dxa"/>
            <w:bottom w:w="0" w:type="dxa"/>
            <w:right w:w="108" w:type="dxa"/>
          </w:tblCellMar>
        </w:tblPrEx>
        <w:trPr>
          <w:cantSplit/>
          <w:trHeight w:val="624" w:hRule="atLeast"/>
        </w:trPr>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70</w:t>
            </w:r>
          </w:p>
        </w:tc>
        <w:tc>
          <w:tcPr>
            <w:tcW w:w="25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卡其空其代牙保留区</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 xml:space="preserve"> </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卡尔苏河</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卡其空其代牙</w:t>
            </w:r>
          </w:p>
        </w:tc>
        <w:tc>
          <w:tcPr>
            <w:tcW w:w="8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保留区</w:t>
            </w:r>
          </w:p>
        </w:tc>
        <w:tc>
          <w:tcPr>
            <w:tcW w:w="15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 xml:space="preserve"> </w:t>
            </w:r>
          </w:p>
        </w:tc>
        <w:tc>
          <w:tcPr>
            <w:tcW w:w="15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帕米尔-昆仑山水土流失防控生态保护红线区北端</w:t>
            </w:r>
          </w:p>
        </w:tc>
        <w:tc>
          <w:tcPr>
            <w:tcW w:w="18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入卡尔苏河河口处</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Ⅱ</w:t>
            </w: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rPr>
              <w:t xml:space="preserve">13.65 </w:t>
            </w:r>
          </w:p>
        </w:tc>
      </w:tr>
    </w:tbl>
    <w:p/>
    <w:p/>
    <w:p>
      <w:pPr>
        <w:pStyle w:val="4"/>
        <w:jc w:val="center"/>
      </w:pPr>
      <w:bookmarkStart w:id="66" w:name="_Toc153706340"/>
      <w:r>
        <w:rPr>
          <w:rFonts w:hint="eastAsia" w:ascii="宋体" w:hAnsi="宋体"/>
        </w:rPr>
        <w:t>附表</w:t>
      </w:r>
      <w:r>
        <w:rPr>
          <w:rFonts w:ascii="Times New Roman" w:hAnsi="Times New Roman"/>
        </w:rPr>
        <w:t>2</w:t>
      </w:r>
      <w:r>
        <w:rPr>
          <w:rFonts w:hint="eastAsia" w:ascii="Times New Roman" w:hAnsi="Times New Roman"/>
        </w:rPr>
        <w:t xml:space="preserve">  </w:t>
      </w:r>
      <w:r>
        <w:rPr>
          <w:rFonts w:hint="eastAsia" w:ascii="宋体" w:hAnsi="宋体"/>
        </w:rPr>
        <w:t>策勒县水库水功能区划表</w:t>
      </w:r>
      <w:bookmarkEnd w:id="66"/>
    </w:p>
    <w:tbl>
      <w:tblPr>
        <w:tblStyle w:val="14"/>
        <w:tblW w:w="14168" w:type="dxa"/>
        <w:tblInd w:w="0" w:type="dxa"/>
        <w:tblLayout w:type="fixed"/>
        <w:tblCellMar>
          <w:top w:w="0" w:type="dxa"/>
          <w:left w:w="108" w:type="dxa"/>
          <w:bottom w:w="0" w:type="dxa"/>
          <w:right w:w="108" w:type="dxa"/>
        </w:tblCellMar>
      </w:tblPr>
      <w:tblGrid>
        <w:gridCol w:w="694"/>
        <w:gridCol w:w="2884"/>
        <w:gridCol w:w="3176"/>
        <w:gridCol w:w="1480"/>
        <w:gridCol w:w="1480"/>
        <w:gridCol w:w="2050"/>
        <w:gridCol w:w="1202"/>
        <w:gridCol w:w="1202"/>
      </w:tblGrid>
      <w:tr>
        <w:tblPrEx>
          <w:tblLayout w:type="fixed"/>
          <w:tblCellMar>
            <w:top w:w="0" w:type="dxa"/>
            <w:left w:w="108" w:type="dxa"/>
            <w:bottom w:w="0" w:type="dxa"/>
            <w:right w:w="108" w:type="dxa"/>
          </w:tblCellMar>
        </w:tblPrEx>
        <w:trPr>
          <w:trHeight w:val="500" w:hRule="atLeast"/>
        </w:trPr>
        <w:tc>
          <w:tcPr>
            <w:tcW w:w="6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仿宋" w:hAnsi="仿宋" w:eastAsia="仿宋" w:cs="仿宋"/>
                <w:b/>
                <w:bCs/>
                <w:color w:val="000000"/>
                <w:kern w:val="0"/>
                <w:szCs w:val="21"/>
              </w:rPr>
            </w:pPr>
            <w:r>
              <w:rPr>
                <w:rFonts w:hint="eastAsia" w:ascii="仿宋" w:hAnsi="仿宋" w:eastAsia="仿宋" w:cs="仿宋"/>
                <w:b/>
                <w:bCs/>
                <w:color w:val="000000"/>
                <w:kern w:val="0"/>
                <w:szCs w:val="21"/>
              </w:rPr>
              <w:t>编号</w:t>
            </w:r>
          </w:p>
        </w:tc>
        <w:tc>
          <w:tcPr>
            <w:tcW w:w="28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仿宋" w:hAnsi="仿宋" w:eastAsia="仿宋" w:cs="仿宋"/>
                <w:b/>
                <w:bCs/>
                <w:color w:val="000000"/>
                <w:kern w:val="0"/>
                <w:szCs w:val="21"/>
              </w:rPr>
            </w:pPr>
            <w:r>
              <w:rPr>
                <w:rFonts w:hint="eastAsia" w:ascii="仿宋" w:hAnsi="仿宋" w:eastAsia="仿宋" w:cs="仿宋"/>
                <w:b/>
                <w:bCs/>
                <w:color w:val="000000"/>
                <w:kern w:val="0"/>
                <w:szCs w:val="21"/>
              </w:rPr>
              <w:t>一级区功能区名称</w:t>
            </w:r>
          </w:p>
        </w:tc>
        <w:tc>
          <w:tcPr>
            <w:tcW w:w="31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仿宋" w:hAnsi="仿宋" w:eastAsia="仿宋" w:cs="仿宋"/>
                <w:b/>
                <w:bCs/>
                <w:color w:val="000000"/>
                <w:kern w:val="0"/>
                <w:szCs w:val="21"/>
              </w:rPr>
            </w:pPr>
            <w:r>
              <w:rPr>
                <w:rFonts w:hint="eastAsia" w:ascii="仿宋" w:hAnsi="仿宋" w:eastAsia="仿宋" w:cs="仿宋"/>
                <w:b/>
                <w:bCs/>
                <w:color w:val="000000"/>
                <w:kern w:val="0"/>
                <w:szCs w:val="21"/>
              </w:rPr>
              <w:t>二级区功能区名称</w:t>
            </w:r>
          </w:p>
        </w:tc>
        <w:tc>
          <w:tcPr>
            <w:tcW w:w="1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仿宋" w:hAnsi="仿宋" w:eastAsia="仿宋" w:cs="仿宋"/>
                <w:b/>
                <w:bCs/>
                <w:color w:val="000000"/>
                <w:kern w:val="0"/>
                <w:szCs w:val="21"/>
              </w:rPr>
            </w:pPr>
            <w:r>
              <w:rPr>
                <w:rFonts w:hint="eastAsia" w:ascii="仿宋" w:hAnsi="仿宋" w:eastAsia="仿宋" w:cs="仿宋"/>
                <w:b/>
                <w:bCs/>
                <w:color w:val="000000"/>
                <w:kern w:val="0"/>
                <w:szCs w:val="21"/>
              </w:rPr>
              <w:t>水库名称</w:t>
            </w:r>
          </w:p>
        </w:tc>
        <w:tc>
          <w:tcPr>
            <w:tcW w:w="1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仿宋" w:hAnsi="仿宋" w:eastAsia="仿宋" w:cs="仿宋"/>
                <w:b/>
                <w:bCs/>
                <w:color w:val="000000"/>
                <w:kern w:val="0"/>
                <w:szCs w:val="21"/>
              </w:rPr>
            </w:pPr>
            <w:r>
              <w:rPr>
                <w:rFonts w:hint="eastAsia" w:ascii="仿宋" w:hAnsi="仿宋" w:eastAsia="仿宋" w:cs="仿宋"/>
                <w:b/>
                <w:bCs/>
                <w:color w:val="000000"/>
                <w:kern w:val="0"/>
                <w:szCs w:val="21"/>
              </w:rPr>
              <w:t>一级功能区</w:t>
            </w:r>
          </w:p>
        </w:tc>
        <w:tc>
          <w:tcPr>
            <w:tcW w:w="2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仿宋" w:hAnsi="仿宋" w:eastAsia="仿宋" w:cs="仿宋"/>
                <w:b/>
                <w:bCs/>
                <w:color w:val="000000"/>
                <w:kern w:val="0"/>
                <w:szCs w:val="21"/>
              </w:rPr>
            </w:pPr>
            <w:r>
              <w:rPr>
                <w:rFonts w:hint="eastAsia" w:ascii="仿宋" w:hAnsi="仿宋" w:eastAsia="仿宋" w:cs="仿宋"/>
                <w:b/>
                <w:bCs/>
                <w:color w:val="000000"/>
                <w:kern w:val="0"/>
                <w:szCs w:val="21"/>
              </w:rPr>
              <w:t>二级区功能区</w:t>
            </w:r>
          </w:p>
        </w:tc>
        <w:tc>
          <w:tcPr>
            <w:tcW w:w="12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仿宋" w:hAnsi="仿宋" w:eastAsia="仿宋" w:cs="仿宋"/>
                <w:b/>
                <w:bCs/>
                <w:color w:val="000000"/>
                <w:kern w:val="0"/>
                <w:szCs w:val="21"/>
              </w:rPr>
            </w:pPr>
            <w:r>
              <w:rPr>
                <w:rFonts w:hint="eastAsia" w:ascii="仿宋" w:hAnsi="仿宋" w:eastAsia="仿宋" w:cs="仿宋"/>
                <w:b/>
                <w:bCs/>
                <w:color w:val="000000"/>
                <w:kern w:val="0"/>
                <w:szCs w:val="21"/>
              </w:rPr>
              <w:t>水质目标</w:t>
            </w:r>
          </w:p>
        </w:tc>
        <w:tc>
          <w:tcPr>
            <w:tcW w:w="12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rPr>
                <w:rFonts w:hint="eastAsia" w:ascii="仿宋" w:hAnsi="仿宋" w:eastAsia="仿宋" w:cs="仿宋"/>
                <w:b/>
                <w:bCs/>
                <w:color w:val="000000"/>
                <w:kern w:val="0"/>
                <w:szCs w:val="21"/>
              </w:rPr>
            </w:pPr>
            <w:r>
              <w:rPr>
                <w:rFonts w:hint="eastAsia" w:ascii="仿宋" w:hAnsi="仿宋" w:eastAsia="仿宋" w:cs="仿宋"/>
                <w:b/>
                <w:bCs/>
                <w:color w:val="000000"/>
                <w:kern w:val="0"/>
                <w:szCs w:val="21"/>
              </w:rPr>
              <w:t>面积(km</w:t>
            </w:r>
            <w:r>
              <w:rPr>
                <w:rFonts w:hint="eastAsia" w:ascii="仿宋" w:hAnsi="仿宋" w:eastAsia="仿宋" w:cs="仿宋"/>
                <w:b/>
                <w:bCs/>
                <w:color w:val="000000"/>
                <w:kern w:val="0"/>
                <w:szCs w:val="21"/>
                <w:vertAlign w:val="superscript"/>
              </w:rPr>
              <w:t>2</w:t>
            </w:r>
            <w:r>
              <w:rPr>
                <w:rFonts w:hint="eastAsia" w:ascii="仿宋" w:hAnsi="仿宋" w:eastAsia="仿宋" w:cs="仿宋"/>
                <w:b/>
                <w:bCs/>
                <w:color w:val="000000"/>
                <w:kern w:val="0"/>
                <w:szCs w:val="21"/>
              </w:rPr>
              <w:t>)</w:t>
            </w:r>
          </w:p>
        </w:tc>
      </w:tr>
      <w:tr>
        <w:tblPrEx>
          <w:tblLayout w:type="fixed"/>
          <w:tblCellMar>
            <w:top w:w="0" w:type="dxa"/>
            <w:left w:w="108" w:type="dxa"/>
            <w:bottom w:w="0" w:type="dxa"/>
            <w:right w:w="108" w:type="dxa"/>
          </w:tblCellMar>
        </w:tblPrEx>
        <w:trPr>
          <w:trHeight w:val="500" w:hRule="atLeast"/>
        </w:trPr>
        <w:tc>
          <w:tcPr>
            <w:tcW w:w="6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仿宋" w:hAnsi="仿宋" w:eastAsia="仿宋" w:cs="仿宋"/>
                <w:color w:val="000000"/>
                <w:kern w:val="0"/>
                <w:szCs w:val="21"/>
              </w:rPr>
            </w:pPr>
            <w:r>
              <w:rPr>
                <w:rFonts w:hint="eastAsia" w:ascii="仿宋" w:hAnsi="仿宋" w:eastAsia="仿宋" w:cs="仿宋"/>
                <w:color w:val="000000"/>
                <w:kern w:val="0"/>
                <w:szCs w:val="21"/>
              </w:rPr>
              <w:t>1</w:t>
            </w:r>
          </w:p>
        </w:tc>
        <w:tc>
          <w:tcPr>
            <w:tcW w:w="28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仿宋" w:hAnsi="仿宋" w:eastAsia="仿宋" w:cs="仿宋"/>
                <w:color w:val="000000"/>
                <w:kern w:val="0"/>
                <w:szCs w:val="21"/>
              </w:rPr>
            </w:pPr>
            <w:r>
              <w:rPr>
                <w:rFonts w:hint="eastAsia" w:ascii="仿宋" w:hAnsi="仿宋" w:eastAsia="仿宋" w:cs="仿宋"/>
                <w:color w:val="000000"/>
                <w:kern w:val="0"/>
                <w:szCs w:val="21"/>
              </w:rPr>
              <w:t>丰收水库保护区</w:t>
            </w:r>
          </w:p>
        </w:tc>
        <w:tc>
          <w:tcPr>
            <w:tcW w:w="31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仿宋" w:hAnsi="仿宋" w:eastAsia="仿宋" w:cs="仿宋"/>
                <w:color w:val="000000"/>
                <w:kern w:val="0"/>
                <w:szCs w:val="21"/>
              </w:rPr>
            </w:pPr>
            <w:r>
              <w:rPr>
                <w:rFonts w:hint="eastAsia" w:ascii="仿宋" w:hAnsi="仿宋" w:eastAsia="仿宋" w:cs="仿宋"/>
                <w:color w:val="000000"/>
                <w:kern w:val="0"/>
                <w:szCs w:val="21"/>
              </w:rPr>
              <w:t>丰收水库湿地公园保护区</w:t>
            </w:r>
          </w:p>
        </w:tc>
        <w:tc>
          <w:tcPr>
            <w:tcW w:w="1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仿宋" w:hAnsi="仿宋" w:eastAsia="仿宋" w:cs="仿宋"/>
                <w:color w:val="000000"/>
                <w:kern w:val="0"/>
                <w:szCs w:val="21"/>
              </w:rPr>
            </w:pPr>
            <w:r>
              <w:rPr>
                <w:rFonts w:hint="eastAsia" w:ascii="仿宋" w:hAnsi="仿宋" w:eastAsia="仿宋" w:cs="仿宋"/>
                <w:color w:val="000000"/>
                <w:kern w:val="0"/>
                <w:szCs w:val="21"/>
              </w:rPr>
              <w:t>丰收水库</w:t>
            </w:r>
          </w:p>
        </w:tc>
        <w:tc>
          <w:tcPr>
            <w:tcW w:w="1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仿宋" w:hAnsi="仿宋" w:eastAsia="仿宋" w:cs="仿宋"/>
                <w:color w:val="000000"/>
                <w:kern w:val="0"/>
                <w:szCs w:val="21"/>
              </w:rPr>
            </w:pPr>
            <w:r>
              <w:rPr>
                <w:rFonts w:hint="eastAsia" w:ascii="仿宋" w:hAnsi="仿宋" w:eastAsia="仿宋" w:cs="仿宋"/>
                <w:color w:val="000000"/>
                <w:kern w:val="0"/>
                <w:szCs w:val="21"/>
              </w:rPr>
              <w:t>保护区</w:t>
            </w:r>
          </w:p>
        </w:tc>
        <w:tc>
          <w:tcPr>
            <w:tcW w:w="2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仿宋" w:hAnsi="仿宋" w:eastAsia="仿宋" w:cs="仿宋"/>
                <w:color w:val="000000"/>
                <w:kern w:val="0"/>
                <w:szCs w:val="21"/>
              </w:rPr>
            </w:pPr>
            <w:r>
              <w:rPr>
                <w:rFonts w:hint="eastAsia" w:ascii="仿宋" w:hAnsi="仿宋" w:eastAsia="仿宋" w:cs="仿宋"/>
                <w:color w:val="000000"/>
                <w:kern w:val="0"/>
                <w:szCs w:val="21"/>
              </w:rPr>
              <w:t>湿地公园保护区</w:t>
            </w:r>
          </w:p>
        </w:tc>
        <w:tc>
          <w:tcPr>
            <w:tcW w:w="12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仿宋" w:hAnsi="仿宋" w:eastAsia="仿宋" w:cs="仿宋"/>
                <w:color w:val="000000"/>
                <w:kern w:val="0"/>
                <w:szCs w:val="21"/>
              </w:rPr>
            </w:pPr>
            <w:r>
              <w:rPr>
                <w:rFonts w:hint="eastAsia" w:ascii="仿宋" w:hAnsi="仿宋" w:eastAsia="仿宋" w:cs="仿宋"/>
                <w:color w:val="000000"/>
                <w:kern w:val="0"/>
                <w:szCs w:val="21"/>
              </w:rPr>
              <w:t>Ⅱ</w:t>
            </w:r>
          </w:p>
        </w:tc>
        <w:tc>
          <w:tcPr>
            <w:tcW w:w="12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仿宋" w:hAnsi="仿宋" w:eastAsia="仿宋" w:cs="仿宋"/>
                <w:color w:val="000000"/>
                <w:kern w:val="0"/>
                <w:szCs w:val="21"/>
              </w:rPr>
            </w:pPr>
            <w:r>
              <w:rPr>
                <w:rFonts w:hint="eastAsia" w:ascii="仿宋" w:hAnsi="仿宋" w:eastAsia="仿宋" w:cs="仿宋"/>
                <w:color w:val="000000"/>
                <w:kern w:val="0"/>
                <w:szCs w:val="21"/>
              </w:rPr>
              <w:t xml:space="preserve">3.92 </w:t>
            </w:r>
          </w:p>
        </w:tc>
      </w:tr>
      <w:tr>
        <w:tblPrEx>
          <w:tblLayout w:type="fixed"/>
          <w:tblCellMar>
            <w:top w:w="0" w:type="dxa"/>
            <w:left w:w="108" w:type="dxa"/>
            <w:bottom w:w="0" w:type="dxa"/>
            <w:right w:w="108" w:type="dxa"/>
          </w:tblCellMar>
        </w:tblPrEx>
        <w:trPr>
          <w:trHeight w:val="500" w:hRule="atLeast"/>
        </w:trPr>
        <w:tc>
          <w:tcPr>
            <w:tcW w:w="6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仿宋" w:hAnsi="仿宋" w:eastAsia="仿宋" w:cs="仿宋"/>
                <w:color w:val="000000"/>
                <w:kern w:val="0"/>
                <w:szCs w:val="21"/>
              </w:rPr>
            </w:pPr>
            <w:r>
              <w:rPr>
                <w:rFonts w:hint="eastAsia" w:ascii="仿宋" w:hAnsi="仿宋" w:eastAsia="仿宋" w:cs="仿宋"/>
                <w:color w:val="000000"/>
                <w:kern w:val="0"/>
                <w:szCs w:val="21"/>
              </w:rPr>
              <w:t>2</w:t>
            </w:r>
          </w:p>
        </w:tc>
        <w:tc>
          <w:tcPr>
            <w:tcW w:w="28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仿宋" w:hAnsi="仿宋" w:eastAsia="仿宋" w:cs="仿宋"/>
                <w:color w:val="000000"/>
                <w:kern w:val="0"/>
                <w:szCs w:val="21"/>
              </w:rPr>
            </w:pPr>
            <w:r>
              <w:rPr>
                <w:rFonts w:hint="eastAsia" w:ascii="仿宋" w:hAnsi="仿宋" w:eastAsia="仿宋" w:cs="仿宋"/>
                <w:color w:val="000000"/>
                <w:kern w:val="0"/>
                <w:szCs w:val="21"/>
              </w:rPr>
              <w:t>博斯坦水库开发利用区</w:t>
            </w:r>
          </w:p>
        </w:tc>
        <w:tc>
          <w:tcPr>
            <w:tcW w:w="31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仿宋" w:hAnsi="仿宋" w:eastAsia="仿宋" w:cs="仿宋"/>
                <w:color w:val="000000"/>
                <w:kern w:val="0"/>
                <w:szCs w:val="21"/>
              </w:rPr>
            </w:pPr>
            <w:r>
              <w:rPr>
                <w:rFonts w:hint="eastAsia" w:ascii="仿宋" w:hAnsi="仿宋" w:eastAsia="仿宋" w:cs="仿宋"/>
                <w:color w:val="000000"/>
                <w:kern w:val="0"/>
                <w:szCs w:val="21"/>
              </w:rPr>
              <w:t>博斯坦水库农业用水区</w:t>
            </w:r>
          </w:p>
        </w:tc>
        <w:tc>
          <w:tcPr>
            <w:tcW w:w="1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仿宋" w:hAnsi="仿宋" w:eastAsia="仿宋" w:cs="仿宋"/>
                <w:color w:val="000000"/>
                <w:kern w:val="0"/>
                <w:szCs w:val="21"/>
              </w:rPr>
            </w:pPr>
            <w:r>
              <w:rPr>
                <w:rFonts w:hint="eastAsia" w:ascii="仿宋" w:hAnsi="仿宋" w:eastAsia="仿宋" w:cs="仿宋"/>
                <w:color w:val="000000"/>
                <w:kern w:val="0"/>
                <w:szCs w:val="21"/>
              </w:rPr>
              <w:t>博斯坦水库</w:t>
            </w:r>
          </w:p>
        </w:tc>
        <w:tc>
          <w:tcPr>
            <w:tcW w:w="1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仿宋" w:hAnsi="仿宋" w:eastAsia="仿宋" w:cs="仿宋"/>
                <w:color w:val="000000"/>
                <w:kern w:val="0"/>
                <w:szCs w:val="21"/>
              </w:rPr>
            </w:pPr>
            <w:r>
              <w:rPr>
                <w:rFonts w:hint="eastAsia" w:ascii="仿宋" w:hAnsi="仿宋" w:eastAsia="仿宋" w:cs="仿宋"/>
                <w:color w:val="000000"/>
                <w:kern w:val="0"/>
                <w:szCs w:val="21"/>
              </w:rPr>
              <w:t>开发利用区</w:t>
            </w:r>
          </w:p>
        </w:tc>
        <w:tc>
          <w:tcPr>
            <w:tcW w:w="2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仿宋" w:hAnsi="仿宋" w:eastAsia="仿宋" w:cs="仿宋"/>
                <w:color w:val="000000"/>
                <w:kern w:val="0"/>
                <w:szCs w:val="21"/>
              </w:rPr>
            </w:pPr>
            <w:r>
              <w:rPr>
                <w:rFonts w:hint="eastAsia" w:ascii="仿宋" w:hAnsi="仿宋" w:eastAsia="仿宋" w:cs="仿宋"/>
                <w:color w:val="000000"/>
                <w:kern w:val="0"/>
                <w:szCs w:val="21"/>
              </w:rPr>
              <w:t>农业用水区</w:t>
            </w:r>
          </w:p>
        </w:tc>
        <w:tc>
          <w:tcPr>
            <w:tcW w:w="12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仿宋" w:hAnsi="仿宋" w:eastAsia="仿宋" w:cs="仿宋"/>
                <w:color w:val="000000"/>
                <w:kern w:val="0"/>
                <w:szCs w:val="21"/>
              </w:rPr>
            </w:pPr>
            <w:r>
              <w:rPr>
                <w:rFonts w:hint="eastAsia" w:ascii="仿宋" w:hAnsi="仿宋" w:eastAsia="仿宋" w:cs="仿宋"/>
                <w:color w:val="000000"/>
                <w:kern w:val="0"/>
                <w:szCs w:val="21"/>
              </w:rPr>
              <w:t>Ⅱ</w:t>
            </w:r>
          </w:p>
        </w:tc>
        <w:tc>
          <w:tcPr>
            <w:tcW w:w="12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仿宋" w:hAnsi="仿宋" w:eastAsia="仿宋" w:cs="仿宋"/>
                <w:color w:val="000000"/>
                <w:kern w:val="0"/>
                <w:szCs w:val="21"/>
              </w:rPr>
            </w:pPr>
            <w:r>
              <w:rPr>
                <w:rFonts w:hint="eastAsia" w:ascii="仿宋" w:hAnsi="仿宋" w:eastAsia="仿宋" w:cs="仿宋"/>
                <w:color w:val="000000"/>
                <w:kern w:val="0"/>
                <w:szCs w:val="21"/>
              </w:rPr>
              <w:t xml:space="preserve">0.47 </w:t>
            </w:r>
          </w:p>
        </w:tc>
      </w:tr>
      <w:tr>
        <w:tblPrEx>
          <w:tblLayout w:type="fixed"/>
          <w:tblCellMar>
            <w:top w:w="0" w:type="dxa"/>
            <w:left w:w="108" w:type="dxa"/>
            <w:bottom w:w="0" w:type="dxa"/>
            <w:right w:w="108" w:type="dxa"/>
          </w:tblCellMar>
        </w:tblPrEx>
        <w:trPr>
          <w:trHeight w:val="500" w:hRule="atLeast"/>
        </w:trPr>
        <w:tc>
          <w:tcPr>
            <w:tcW w:w="6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仿宋" w:hAnsi="仿宋" w:eastAsia="仿宋" w:cs="仿宋"/>
                <w:color w:val="000000"/>
                <w:kern w:val="0"/>
                <w:szCs w:val="21"/>
              </w:rPr>
            </w:pPr>
            <w:r>
              <w:rPr>
                <w:rFonts w:hint="eastAsia" w:ascii="仿宋" w:hAnsi="仿宋" w:eastAsia="仿宋" w:cs="仿宋"/>
                <w:color w:val="000000"/>
                <w:kern w:val="0"/>
                <w:szCs w:val="21"/>
              </w:rPr>
              <w:t>3</w:t>
            </w:r>
          </w:p>
        </w:tc>
        <w:tc>
          <w:tcPr>
            <w:tcW w:w="28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仿宋" w:hAnsi="仿宋" w:eastAsia="仿宋" w:cs="仿宋"/>
                <w:color w:val="000000"/>
                <w:kern w:val="0"/>
                <w:szCs w:val="21"/>
              </w:rPr>
            </w:pPr>
            <w:r>
              <w:rPr>
                <w:rFonts w:hint="eastAsia" w:ascii="仿宋" w:hAnsi="仿宋" w:eastAsia="仿宋" w:cs="仿宋"/>
                <w:color w:val="000000"/>
                <w:kern w:val="0"/>
                <w:szCs w:val="21"/>
              </w:rPr>
              <w:t>先锋水库开发利用区</w:t>
            </w:r>
          </w:p>
        </w:tc>
        <w:tc>
          <w:tcPr>
            <w:tcW w:w="31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仿宋" w:hAnsi="仿宋" w:eastAsia="仿宋" w:cs="仿宋"/>
                <w:color w:val="000000"/>
                <w:kern w:val="0"/>
                <w:szCs w:val="21"/>
              </w:rPr>
            </w:pPr>
            <w:r>
              <w:rPr>
                <w:rFonts w:hint="eastAsia" w:ascii="仿宋" w:hAnsi="仿宋" w:eastAsia="仿宋" w:cs="仿宋"/>
                <w:color w:val="000000"/>
                <w:kern w:val="0"/>
                <w:szCs w:val="21"/>
              </w:rPr>
              <w:t>先锋水库农业用水区</w:t>
            </w:r>
          </w:p>
        </w:tc>
        <w:tc>
          <w:tcPr>
            <w:tcW w:w="1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仿宋" w:hAnsi="仿宋" w:eastAsia="仿宋" w:cs="仿宋"/>
                <w:color w:val="000000"/>
                <w:kern w:val="0"/>
                <w:szCs w:val="21"/>
              </w:rPr>
            </w:pPr>
            <w:r>
              <w:rPr>
                <w:rFonts w:hint="eastAsia" w:ascii="仿宋" w:hAnsi="仿宋" w:eastAsia="仿宋" w:cs="仿宋"/>
                <w:color w:val="000000"/>
                <w:kern w:val="0"/>
                <w:szCs w:val="21"/>
              </w:rPr>
              <w:t>先锋水库</w:t>
            </w:r>
          </w:p>
        </w:tc>
        <w:tc>
          <w:tcPr>
            <w:tcW w:w="1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仿宋" w:hAnsi="仿宋" w:eastAsia="仿宋" w:cs="仿宋"/>
                <w:color w:val="000000"/>
                <w:kern w:val="0"/>
                <w:szCs w:val="21"/>
              </w:rPr>
            </w:pPr>
            <w:r>
              <w:rPr>
                <w:rFonts w:hint="eastAsia" w:ascii="仿宋" w:hAnsi="仿宋" w:eastAsia="仿宋" w:cs="仿宋"/>
                <w:color w:val="000000"/>
                <w:kern w:val="0"/>
                <w:szCs w:val="21"/>
              </w:rPr>
              <w:t>开发利用区</w:t>
            </w:r>
          </w:p>
        </w:tc>
        <w:tc>
          <w:tcPr>
            <w:tcW w:w="2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仿宋" w:hAnsi="仿宋" w:eastAsia="仿宋" w:cs="仿宋"/>
                <w:color w:val="000000"/>
                <w:kern w:val="0"/>
                <w:szCs w:val="21"/>
              </w:rPr>
            </w:pPr>
            <w:r>
              <w:rPr>
                <w:rFonts w:hint="eastAsia" w:ascii="仿宋" w:hAnsi="仿宋" w:eastAsia="仿宋" w:cs="仿宋"/>
                <w:color w:val="000000"/>
                <w:kern w:val="0"/>
                <w:szCs w:val="21"/>
              </w:rPr>
              <w:t>农业用水区</w:t>
            </w:r>
          </w:p>
        </w:tc>
        <w:tc>
          <w:tcPr>
            <w:tcW w:w="12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仿宋" w:hAnsi="仿宋" w:eastAsia="仿宋" w:cs="仿宋"/>
                <w:color w:val="000000"/>
                <w:kern w:val="0"/>
                <w:szCs w:val="21"/>
              </w:rPr>
            </w:pPr>
            <w:r>
              <w:rPr>
                <w:rFonts w:hint="eastAsia" w:ascii="仿宋" w:hAnsi="仿宋" w:eastAsia="仿宋" w:cs="仿宋"/>
                <w:color w:val="000000"/>
                <w:kern w:val="0"/>
                <w:szCs w:val="21"/>
              </w:rPr>
              <w:t>Ⅱ</w:t>
            </w:r>
          </w:p>
        </w:tc>
        <w:tc>
          <w:tcPr>
            <w:tcW w:w="12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仿宋" w:hAnsi="仿宋" w:eastAsia="仿宋" w:cs="仿宋"/>
                <w:color w:val="000000"/>
                <w:kern w:val="0"/>
                <w:szCs w:val="21"/>
              </w:rPr>
            </w:pPr>
            <w:r>
              <w:rPr>
                <w:rFonts w:hint="eastAsia" w:ascii="仿宋" w:hAnsi="仿宋" w:eastAsia="仿宋" w:cs="仿宋"/>
                <w:color w:val="000000"/>
                <w:kern w:val="0"/>
                <w:szCs w:val="21"/>
              </w:rPr>
              <w:t xml:space="preserve">1.99 </w:t>
            </w:r>
          </w:p>
        </w:tc>
      </w:tr>
      <w:tr>
        <w:tblPrEx>
          <w:tblLayout w:type="fixed"/>
          <w:tblCellMar>
            <w:top w:w="0" w:type="dxa"/>
            <w:left w:w="108" w:type="dxa"/>
            <w:bottom w:w="0" w:type="dxa"/>
            <w:right w:w="108" w:type="dxa"/>
          </w:tblCellMar>
        </w:tblPrEx>
        <w:trPr>
          <w:trHeight w:val="500" w:hRule="atLeast"/>
        </w:trPr>
        <w:tc>
          <w:tcPr>
            <w:tcW w:w="6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仿宋" w:hAnsi="仿宋" w:eastAsia="仿宋" w:cs="仿宋"/>
                <w:color w:val="000000"/>
                <w:kern w:val="0"/>
                <w:szCs w:val="21"/>
              </w:rPr>
            </w:pPr>
            <w:r>
              <w:rPr>
                <w:rFonts w:hint="eastAsia" w:ascii="仿宋" w:hAnsi="仿宋" w:eastAsia="仿宋" w:cs="仿宋"/>
                <w:color w:val="000000"/>
                <w:kern w:val="0"/>
                <w:szCs w:val="21"/>
              </w:rPr>
              <w:t>4</w:t>
            </w:r>
          </w:p>
        </w:tc>
        <w:tc>
          <w:tcPr>
            <w:tcW w:w="28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仿宋" w:hAnsi="仿宋" w:eastAsia="仿宋" w:cs="仿宋"/>
                <w:color w:val="000000"/>
                <w:kern w:val="0"/>
                <w:szCs w:val="21"/>
              </w:rPr>
            </w:pPr>
            <w:r>
              <w:rPr>
                <w:rFonts w:hint="eastAsia" w:ascii="仿宋" w:hAnsi="仿宋" w:eastAsia="仿宋" w:cs="仿宋"/>
                <w:color w:val="000000"/>
                <w:kern w:val="0"/>
                <w:szCs w:val="21"/>
              </w:rPr>
              <w:t>甫哪克水库开发利用区</w:t>
            </w:r>
          </w:p>
        </w:tc>
        <w:tc>
          <w:tcPr>
            <w:tcW w:w="31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仿宋" w:hAnsi="仿宋" w:eastAsia="仿宋" w:cs="仿宋"/>
                <w:color w:val="000000"/>
                <w:kern w:val="0"/>
                <w:szCs w:val="21"/>
              </w:rPr>
            </w:pPr>
            <w:r>
              <w:rPr>
                <w:rFonts w:hint="eastAsia" w:ascii="仿宋" w:hAnsi="仿宋" w:eastAsia="仿宋" w:cs="仿宋"/>
                <w:color w:val="000000"/>
                <w:kern w:val="0"/>
                <w:szCs w:val="21"/>
              </w:rPr>
              <w:t>甫哪克水库农业用水区</w:t>
            </w:r>
          </w:p>
        </w:tc>
        <w:tc>
          <w:tcPr>
            <w:tcW w:w="1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仿宋" w:hAnsi="仿宋" w:eastAsia="仿宋" w:cs="仿宋"/>
                <w:color w:val="000000"/>
                <w:kern w:val="0"/>
                <w:szCs w:val="21"/>
              </w:rPr>
            </w:pPr>
            <w:r>
              <w:rPr>
                <w:rFonts w:hint="eastAsia" w:ascii="仿宋" w:hAnsi="仿宋" w:eastAsia="仿宋" w:cs="仿宋"/>
                <w:color w:val="000000"/>
                <w:kern w:val="0"/>
                <w:szCs w:val="21"/>
              </w:rPr>
              <w:t>甫哪克水库</w:t>
            </w:r>
          </w:p>
        </w:tc>
        <w:tc>
          <w:tcPr>
            <w:tcW w:w="1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仿宋" w:hAnsi="仿宋" w:eastAsia="仿宋" w:cs="仿宋"/>
                <w:color w:val="000000"/>
                <w:kern w:val="0"/>
                <w:szCs w:val="21"/>
              </w:rPr>
            </w:pPr>
            <w:r>
              <w:rPr>
                <w:rFonts w:hint="eastAsia" w:ascii="仿宋" w:hAnsi="仿宋" w:eastAsia="仿宋" w:cs="仿宋"/>
                <w:color w:val="000000"/>
                <w:kern w:val="0"/>
                <w:szCs w:val="21"/>
              </w:rPr>
              <w:t>开发利用区</w:t>
            </w:r>
          </w:p>
        </w:tc>
        <w:tc>
          <w:tcPr>
            <w:tcW w:w="2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仿宋" w:hAnsi="仿宋" w:eastAsia="仿宋" w:cs="仿宋"/>
                <w:color w:val="000000"/>
                <w:kern w:val="0"/>
                <w:szCs w:val="21"/>
              </w:rPr>
            </w:pPr>
            <w:r>
              <w:rPr>
                <w:rFonts w:hint="eastAsia" w:ascii="仿宋" w:hAnsi="仿宋" w:eastAsia="仿宋" w:cs="仿宋"/>
                <w:color w:val="000000"/>
                <w:kern w:val="0"/>
                <w:szCs w:val="21"/>
              </w:rPr>
              <w:t>农业用水区</w:t>
            </w:r>
          </w:p>
        </w:tc>
        <w:tc>
          <w:tcPr>
            <w:tcW w:w="12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仿宋" w:hAnsi="仿宋" w:eastAsia="仿宋" w:cs="仿宋"/>
                <w:color w:val="000000"/>
                <w:kern w:val="0"/>
                <w:szCs w:val="21"/>
              </w:rPr>
            </w:pPr>
            <w:r>
              <w:rPr>
                <w:rFonts w:hint="eastAsia" w:ascii="仿宋" w:hAnsi="仿宋" w:eastAsia="仿宋" w:cs="仿宋"/>
                <w:color w:val="000000"/>
                <w:kern w:val="0"/>
                <w:szCs w:val="21"/>
              </w:rPr>
              <w:t>Ⅱ</w:t>
            </w:r>
          </w:p>
        </w:tc>
        <w:tc>
          <w:tcPr>
            <w:tcW w:w="12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仿宋" w:hAnsi="仿宋" w:eastAsia="仿宋" w:cs="仿宋"/>
                <w:color w:val="000000"/>
                <w:kern w:val="0"/>
                <w:szCs w:val="21"/>
              </w:rPr>
            </w:pPr>
            <w:r>
              <w:rPr>
                <w:rFonts w:hint="eastAsia" w:ascii="仿宋" w:hAnsi="仿宋" w:eastAsia="仿宋" w:cs="仿宋"/>
                <w:color w:val="000000"/>
                <w:kern w:val="0"/>
                <w:szCs w:val="21"/>
              </w:rPr>
              <w:t xml:space="preserve">0.72 </w:t>
            </w:r>
          </w:p>
        </w:tc>
      </w:tr>
      <w:tr>
        <w:tblPrEx>
          <w:tblLayout w:type="fixed"/>
          <w:tblCellMar>
            <w:top w:w="0" w:type="dxa"/>
            <w:left w:w="108" w:type="dxa"/>
            <w:bottom w:w="0" w:type="dxa"/>
            <w:right w:w="108" w:type="dxa"/>
          </w:tblCellMar>
        </w:tblPrEx>
        <w:trPr>
          <w:trHeight w:val="500" w:hRule="atLeast"/>
        </w:trPr>
        <w:tc>
          <w:tcPr>
            <w:tcW w:w="6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仿宋" w:hAnsi="仿宋" w:eastAsia="仿宋" w:cs="仿宋"/>
                <w:color w:val="000000"/>
                <w:kern w:val="0"/>
                <w:szCs w:val="21"/>
              </w:rPr>
            </w:pPr>
            <w:r>
              <w:rPr>
                <w:rFonts w:hint="eastAsia" w:ascii="仿宋" w:hAnsi="仿宋" w:eastAsia="仿宋" w:cs="仿宋"/>
                <w:color w:val="000000"/>
                <w:kern w:val="0"/>
                <w:szCs w:val="21"/>
              </w:rPr>
              <w:t>5</w:t>
            </w:r>
          </w:p>
        </w:tc>
        <w:tc>
          <w:tcPr>
            <w:tcW w:w="28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仿宋" w:hAnsi="仿宋" w:eastAsia="仿宋" w:cs="仿宋"/>
                <w:color w:val="000000"/>
                <w:kern w:val="0"/>
                <w:szCs w:val="21"/>
              </w:rPr>
            </w:pPr>
            <w:r>
              <w:rPr>
                <w:rFonts w:hint="eastAsia" w:ascii="仿宋" w:hAnsi="仿宋" w:eastAsia="仿宋" w:cs="仿宋"/>
                <w:color w:val="000000"/>
                <w:kern w:val="0"/>
                <w:szCs w:val="21"/>
              </w:rPr>
              <w:t>卡尔苏水库开发利用区</w:t>
            </w:r>
          </w:p>
        </w:tc>
        <w:tc>
          <w:tcPr>
            <w:tcW w:w="31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仿宋" w:hAnsi="仿宋" w:eastAsia="仿宋" w:cs="仿宋"/>
                <w:color w:val="000000"/>
                <w:kern w:val="0"/>
                <w:szCs w:val="21"/>
              </w:rPr>
            </w:pPr>
            <w:r>
              <w:rPr>
                <w:rFonts w:hint="eastAsia" w:ascii="仿宋" w:hAnsi="仿宋" w:eastAsia="仿宋" w:cs="仿宋"/>
                <w:color w:val="000000"/>
                <w:kern w:val="0"/>
                <w:szCs w:val="21"/>
              </w:rPr>
              <w:t>卡尔苏水库农业用水区</w:t>
            </w:r>
          </w:p>
        </w:tc>
        <w:tc>
          <w:tcPr>
            <w:tcW w:w="1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仿宋" w:hAnsi="仿宋" w:eastAsia="仿宋" w:cs="仿宋"/>
                <w:color w:val="000000"/>
                <w:kern w:val="0"/>
                <w:szCs w:val="21"/>
              </w:rPr>
            </w:pPr>
            <w:r>
              <w:rPr>
                <w:rFonts w:hint="eastAsia" w:ascii="仿宋" w:hAnsi="仿宋" w:eastAsia="仿宋" w:cs="仿宋"/>
                <w:color w:val="000000"/>
                <w:kern w:val="0"/>
                <w:szCs w:val="21"/>
              </w:rPr>
              <w:t>卡尔苏水库</w:t>
            </w:r>
          </w:p>
        </w:tc>
        <w:tc>
          <w:tcPr>
            <w:tcW w:w="1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仿宋" w:hAnsi="仿宋" w:eastAsia="仿宋" w:cs="仿宋"/>
                <w:color w:val="000000"/>
                <w:kern w:val="0"/>
                <w:szCs w:val="21"/>
              </w:rPr>
            </w:pPr>
            <w:r>
              <w:rPr>
                <w:rFonts w:hint="eastAsia" w:ascii="仿宋" w:hAnsi="仿宋" w:eastAsia="仿宋" w:cs="仿宋"/>
                <w:color w:val="000000"/>
                <w:kern w:val="0"/>
                <w:szCs w:val="21"/>
              </w:rPr>
              <w:t>开发利用区</w:t>
            </w:r>
          </w:p>
        </w:tc>
        <w:tc>
          <w:tcPr>
            <w:tcW w:w="2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仿宋" w:hAnsi="仿宋" w:eastAsia="仿宋" w:cs="仿宋"/>
                <w:color w:val="000000"/>
                <w:kern w:val="0"/>
                <w:szCs w:val="21"/>
              </w:rPr>
            </w:pPr>
            <w:r>
              <w:rPr>
                <w:rFonts w:hint="eastAsia" w:ascii="仿宋" w:hAnsi="仿宋" w:eastAsia="仿宋" w:cs="仿宋"/>
                <w:color w:val="000000"/>
                <w:kern w:val="0"/>
                <w:szCs w:val="21"/>
              </w:rPr>
              <w:t>农业用水区</w:t>
            </w:r>
          </w:p>
        </w:tc>
        <w:tc>
          <w:tcPr>
            <w:tcW w:w="12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仿宋" w:hAnsi="仿宋" w:eastAsia="仿宋" w:cs="仿宋"/>
                <w:color w:val="000000"/>
                <w:kern w:val="0"/>
                <w:szCs w:val="21"/>
              </w:rPr>
            </w:pPr>
            <w:r>
              <w:rPr>
                <w:rFonts w:hint="eastAsia" w:ascii="仿宋" w:hAnsi="仿宋" w:eastAsia="仿宋" w:cs="仿宋"/>
                <w:color w:val="000000"/>
                <w:kern w:val="0"/>
                <w:szCs w:val="21"/>
              </w:rPr>
              <w:t>Ⅱ</w:t>
            </w:r>
          </w:p>
        </w:tc>
        <w:tc>
          <w:tcPr>
            <w:tcW w:w="12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仿宋" w:hAnsi="仿宋" w:eastAsia="仿宋" w:cs="仿宋"/>
                <w:color w:val="000000"/>
                <w:kern w:val="0"/>
                <w:szCs w:val="21"/>
              </w:rPr>
            </w:pPr>
            <w:r>
              <w:rPr>
                <w:rFonts w:hint="eastAsia" w:ascii="仿宋" w:hAnsi="仿宋" w:eastAsia="仿宋" w:cs="仿宋"/>
                <w:color w:val="000000"/>
                <w:kern w:val="0"/>
                <w:szCs w:val="21"/>
              </w:rPr>
              <w:t xml:space="preserve">0.31 </w:t>
            </w:r>
          </w:p>
        </w:tc>
      </w:tr>
      <w:tr>
        <w:tblPrEx>
          <w:tblLayout w:type="fixed"/>
          <w:tblCellMar>
            <w:top w:w="0" w:type="dxa"/>
            <w:left w:w="108" w:type="dxa"/>
            <w:bottom w:w="0" w:type="dxa"/>
            <w:right w:w="108" w:type="dxa"/>
          </w:tblCellMar>
        </w:tblPrEx>
        <w:trPr>
          <w:trHeight w:val="500" w:hRule="atLeast"/>
        </w:trPr>
        <w:tc>
          <w:tcPr>
            <w:tcW w:w="6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仿宋" w:hAnsi="仿宋" w:eastAsia="仿宋" w:cs="仿宋"/>
                <w:color w:val="000000"/>
                <w:kern w:val="0"/>
                <w:szCs w:val="21"/>
              </w:rPr>
            </w:pPr>
            <w:r>
              <w:rPr>
                <w:rFonts w:hint="eastAsia" w:ascii="仿宋" w:hAnsi="仿宋" w:eastAsia="仿宋" w:cs="仿宋"/>
                <w:color w:val="000000"/>
                <w:kern w:val="0"/>
                <w:szCs w:val="21"/>
              </w:rPr>
              <w:t>6</w:t>
            </w:r>
          </w:p>
        </w:tc>
        <w:tc>
          <w:tcPr>
            <w:tcW w:w="28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仿宋" w:hAnsi="仿宋" w:eastAsia="仿宋" w:cs="仿宋"/>
                <w:color w:val="000000"/>
                <w:kern w:val="0"/>
                <w:szCs w:val="21"/>
              </w:rPr>
            </w:pPr>
            <w:r>
              <w:rPr>
                <w:rFonts w:hint="eastAsia" w:ascii="仿宋" w:hAnsi="仿宋" w:eastAsia="仿宋" w:cs="仿宋"/>
                <w:color w:val="000000"/>
                <w:kern w:val="0"/>
                <w:szCs w:val="21"/>
              </w:rPr>
              <w:t>胜利水库开发利用区</w:t>
            </w:r>
          </w:p>
        </w:tc>
        <w:tc>
          <w:tcPr>
            <w:tcW w:w="31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仿宋" w:hAnsi="仿宋" w:eastAsia="仿宋" w:cs="仿宋"/>
                <w:color w:val="000000"/>
                <w:kern w:val="0"/>
                <w:szCs w:val="21"/>
              </w:rPr>
            </w:pPr>
            <w:r>
              <w:rPr>
                <w:rFonts w:hint="eastAsia" w:ascii="仿宋" w:hAnsi="仿宋" w:eastAsia="仿宋" w:cs="仿宋"/>
                <w:color w:val="000000"/>
                <w:kern w:val="0"/>
                <w:szCs w:val="21"/>
              </w:rPr>
              <w:t>胜利水库农业用水区</w:t>
            </w:r>
          </w:p>
        </w:tc>
        <w:tc>
          <w:tcPr>
            <w:tcW w:w="1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仿宋" w:hAnsi="仿宋" w:eastAsia="仿宋" w:cs="仿宋"/>
                <w:color w:val="000000"/>
                <w:kern w:val="0"/>
                <w:szCs w:val="21"/>
              </w:rPr>
            </w:pPr>
            <w:r>
              <w:rPr>
                <w:rFonts w:hint="eastAsia" w:ascii="仿宋" w:hAnsi="仿宋" w:eastAsia="仿宋" w:cs="仿宋"/>
                <w:color w:val="000000"/>
                <w:kern w:val="0"/>
                <w:szCs w:val="21"/>
              </w:rPr>
              <w:t>胜利水库</w:t>
            </w:r>
          </w:p>
        </w:tc>
        <w:tc>
          <w:tcPr>
            <w:tcW w:w="1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仿宋" w:hAnsi="仿宋" w:eastAsia="仿宋" w:cs="仿宋"/>
                <w:color w:val="000000"/>
                <w:kern w:val="0"/>
                <w:szCs w:val="21"/>
              </w:rPr>
            </w:pPr>
            <w:r>
              <w:rPr>
                <w:rFonts w:hint="eastAsia" w:ascii="仿宋" w:hAnsi="仿宋" w:eastAsia="仿宋" w:cs="仿宋"/>
                <w:color w:val="000000"/>
                <w:kern w:val="0"/>
                <w:szCs w:val="21"/>
              </w:rPr>
              <w:t>开发利用区</w:t>
            </w:r>
          </w:p>
        </w:tc>
        <w:tc>
          <w:tcPr>
            <w:tcW w:w="2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仿宋" w:hAnsi="仿宋" w:eastAsia="仿宋" w:cs="仿宋"/>
                <w:color w:val="000000"/>
                <w:kern w:val="0"/>
                <w:szCs w:val="21"/>
              </w:rPr>
            </w:pPr>
            <w:r>
              <w:rPr>
                <w:rFonts w:hint="eastAsia" w:ascii="仿宋" w:hAnsi="仿宋" w:eastAsia="仿宋" w:cs="仿宋"/>
                <w:color w:val="000000"/>
                <w:kern w:val="0"/>
                <w:szCs w:val="21"/>
              </w:rPr>
              <w:t>农业用水区</w:t>
            </w:r>
          </w:p>
        </w:tc>
        <w:tc>
          <w:tcPr>
            <w:tcW w:w="12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仿宋" w:hAnsi="仿宋" w:eastAsia="仿宋" w:cs="仿宋"/>
                <w:color w:val="000000"/>
                <w:kern w:val="0"/>
                <w:szCs w:val="21"/>
              </w:rPr>
            </w:pPr>
            <w:r>
              <w:rPr>
                <w:rFonts w:hint="eastAsia" w:ascii="仿宋" w:hAnsi="仿宋" w:eastAsia="仿宋" w:cs="仿宋"/>
                <w:color w:val="000000"/>
                <w:kern w:val="0"/>
                <w:szCs w:val="21"/>
              </w:rPr>
              <w:t>Ⅱ</w:t>
            </w:r>
          </w:p>
        </w:tc>
        <w:tc>
          <w:tcPr>
            <w:tcW w:w="12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仿宋" w:hAnsi="仿宋" w:eastAsia="仿宋" w:cs="仿宋"/>
                <w:color w:val="000000"/>
                <w:kern w:val="0"/>
                <w:szCs w:val="21"/>
              </w:rPr>
            </w:pPr>
            <w:r>
              <w:rPr>
                <w:rFonts w:hint="eastAsia" w:ascii="仿宋" w:hAnsi="仿宋" w:eastAsia="仿宋" w:cs="仿宋"/>
                <w:color w:val="000000"/>
                <w:kern w:val="0"/>
                <w:szCs w:val="21"/>
              </w:rPr>
              <w:t xml:space="preserve">3.55 </w:t>
            </w:r>
          </w:p>
        </w:tc>
      </w:tr>
      <w:tr>
        <w:tblPrEx>
          <w:tblLayout w:type="fixed"/>
          <w:tblCellMar>
            <w:top w:w="0" w:type="dxa"/>
            <w:left w:w="108" w:type="dxa"/>
            <w:bottom w:w="0" w:type="dxa"/>
            <w:right w:w="108" w:type="dxa"/>
          </w:tblCellMar>
        </w:tblPrEx>
        <w:trPr>
          <w:trHeight w:val="500" w:hRule="atLeast"/>
        </w:trPr>
        <w:tc>
          <w:tcPr>
            <w:tcW w:w="6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仿宋" w:hAnsi="仿宋" w:eastAsia="仿宋" w:cs="仿宋"/>
                <w:color w:val="000000"/>
                <w:kern w:val="0"/>
                <w:szCs w:val="21"/>
              </w:rPr>
            </w:pPr>
            <w:r>
              <w:rPr>
                <w:rFonts w:hint="eastAsia" w:ascii="仿宋" w:hAnsi="仿宋" w:eastAsia="仿宋" w:cs="仿宋"/>
                <w:color w:val="000000"/>
                <w:kern w:val="0"/>
                <w:szCs w:val="21"/>
              </w:rPr>
              <w:t>7</w:t>
            </w:r>
          </w:p>
        </w:tc>
        <w:tc>
          <w:tcPr>
            <w:tcW w:w="28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仿宋" w:hAnsi="仿宋" w:eastAsia="仿宋" w:cs="仿宋"/>
                <w:color w:val="000000"/>
                <w:kern w:val="0"/>
                <w:szCs w:val="21"/>
              </w:rPr>
            </w:pPr>
            <w:r>
              <w:rPr>
                <w:rFonts w:hint="eastAsia" w:ascii="仿宋" w:hAnsi="仿宋" w:eastAsia="仿宋" w:cs="仿宋"/>
                <w:color w:val="000000"/>
                <w:kern w:val="0"/>
                <w:szCs w:val="21"/>
              </w:rPr>
              <w:t>红旗二库开发利用区</w:t>
            </w:r>
          </w:p>
        </w:tc>
        <w:tc>
          <w:tcPr>
            <w:tcW w:w="31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仿宋" w:hAnsi="仿宋" w:eastAsia="仿宋" w:cs="仿宋"/>
                <w:color w:val="000000"/>
                <w:kern w:val="0"/>
                <w:szCs w:val="21"/>
              </w:rPr>
            </w:pPr>
            <w:r>
              <w:rPr>
                <w:rFonts w:hint="eastAsia" w:ascii="仿宋" w:hAnsi="仿宋" w:eastAsia="仿宋" w:cs="仿宋"/>
                <w:color w:val="000000"/>
                <w:kern w:val="0"/>
                <w:szCs w:val="21"/>
              </w:rPr>
              <w:t>红旗二库农业用水区</w:t>
            </w:r>
          </w:p>
        </w:tc>
        <w:tc>
          <w:tcPr>
            <w:tcW w:w="1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仿宋" w:hAnsi="仿宋" w:eastAsia="仿宋" w:cs="仿宋"/>
                <w:color w:val="000000"/>
                <w:kern w:val="0"/>
                <w:szCs w:val="21"/>
              </w:rPr>
            </w:pPr>
            <w:r>
              <w:rPr>
                <w:rFonts w:hint="eastAsia" w:ascii="仿宋" w:hAnsi="仿宋" w:eastAsia="仿宋" w:cs="仿宋"/>
                <w:color w:val="000000"/>
                <w:kern w:val="0"/>
                <w:szCs w:val="21"/>
              </w:rPr>
              <w:t>红旗二库</w:t>
            </w:r>
          </w:p>
        </w:tc>
        <w:tc>
          <w:tcPr>
            <w:tcW w:w="1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仿宋" w:hAnsi="仿宋" w:eastAsia="仿宋" w:cs="仿宋"/>
                <w:color w:val="000000"/>
                <w:kern w:val="0"/>
                <w:szCs w:val="21"/>
              </w:rPr>
            </w:pPr>
            <w:r>
              <w:rPr>
                <w:rFonts w:hint="eastAsia" w:ascii="仿宋" w:hAnsi="仿宋" w:eastAsia="仿宋" w:cs="仿宋"/>
                <w:color w:val="000000"/>
                <w:kern w:val="0"/>
                <w:szCs w:val="21"/>
              </w:rPr>
              <w:t>开发利用区</w:t>
            </w:r>
          </w:p>
        </w:tc>
        <w:tc>
          <w:tcPr>
            <w:tcW w:w="2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仿宋" w:hAnsi="仿宋" w:eastAsia="仿宋" w:cs="仿宋"/>
                <w:color w:val="000000"/>
                <w:kern w:val="0"/>
                <w:szCs w:val="21"/>
              </w:rPr>
            </w:pPr>
            <w:r>
              <w:rPr>
                <w:rFonts w:hint="eastAsia" w:ascii="仿宋" w:hAnsi="仿宋" w:eastAsia="仿宋" w:cs="仿宋"/>
                <w:color w:val="000000"/>
                <w:kern w:val="0"/>
                <w:szCs w:val="21"/>
              </w:rPr>
              <w:t>农业用水区</w:t>
            </w:r>
          </w:p>
        </w:tc>
        <w:tc>
          <w:tcPr>
            <w:tcW w:w="12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仿宋" w:hAnsi="仿宋" w:eastAsia="仿宋" w:cs="仿宋"/>
                <w:color w:val="000000"/>
                <w:kern w:val="0"/>
                <w:szCs w:val="21"/>
              </w:rPr>
            </w:pPr>
            <w:r>
              <w:rPr>
                <w:rFonts w:hint="eastAsia" w:ascii="仿宋" w:hAnsi="仿宋" w:eastAsia="仿宋" w:cs="仿宋"/>
                <w:color w:val="000000"/>
                <w:kern w:val="0"/>
                <w:szCs w:val="21"/>
              </w:rPr>
              <w:t>Ⅱ</w:t>
            </w:r>
          </w:p>
        </w:tc>
        <w:tc>
          <w:tcPr>
            <w:tcW w:w="12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仿宋" w:hAnsi="仿宋" w:eastAsia="仿宋" w:cs="仿宋"/>
                <w:color w:val="000000"/>
                <w:kern w:val="0"/>
                <w:szCs w:val="21"/>
              </w:rPr>
            </w:pPr>
            <w:r>
              <w:rPr>
                <w:rFonts w:hint="eastAsia" w:ascii="仿宋" w:hAnsi="仿宋" w:eastAsia="仿宋" w:cs="仿宋"/>
                <w:color w:val="000000"/>
                <w:kern w:val="0"/>
                <w:szCs w:val="21"/>
              </w:rPr>
              <w:t xml:space="preserve">0.55 </w:t>
            </w:r>
          </w:p>
        </w:tc>
      </w:tr>
      <w:tr>
        <w:tblPrEx>
          <w:tblLayout w:type="fixed"/>
          <w:tblCellMar>
            <w:top w:w="0" w:type="dxa"/>
            <w:left w:w="108" w:type="dxa"/>
            <w:bottom w:w="0" w:type="dxa"/>
            <w:right w:w="108" w:type="dxa"/>
          </w:tblCellMar>
        </w:tblPrEx>
        <w:trPr>
          <w:trHeight w:val="500" w:hRule="atLeast"/>
        </w:trPr>
        <w:tc>
          <w:tcPr>
            <w:tcW w:w="6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仿宋" w:hAnsi="仿宋" w:eastAsia="仿宋" w:cs="仿宋"/>
                <w:color w:val="000000"/>
                <w:kern w:val="0"/>
                <w:szCs w:val="21"/>
              </w:rPr>
            </w:pPr>
            <w:r>
              <w:rPr>
                <w:rFonts w:hint="eastAsia" w:ascii="仿宋" w:hAnsi="仿宋" w:eastAsia="仿宋" w:cs="仿宋"/>
                <w:color w:val="000000"/>
                <w:kern w:val="0"/>
                <w:szCs w:val="21"/>
              </w:rPr>
              <w:t>8</w:t>
            </w:r>
          </w:p>
        </w:tc>
        <w:tc>
          <w:tcPr>
            <w:tcW w:w="28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仿宋" w:hAnsi="仿宋" w:eastAsia="仿宋" w:cs="仿宋"/>
                <w:color w:val="000000"/>
                <w:kern w:val="0"/>
                <w:szCs w:val="21"/>
              </w:rPr>
            </w:pPr>
            <w:r>
              <w:rPr>
                <w:rFonts w:hint="eastAsia" w:ascii="仿宋" w:hAnsi="仿宋" w:eastAsia="仿宋" w:cs="仿宋"/>
                <w:color w:val="000000"/>
                <w:kern w:val="0"/>
                <w:szCs w:val="21"/>
              </w:rPr>
              <w:t>卡尔曼水库开发利用区</w:t>
            </w:r>
          </w:p>
        </w:tc>
        <w:tc>
          <w:tcPr>
            <w:tcW w:w="31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仿宋" w:hAnsi="仿宋" w:eastAsia="仿宋" w:cs="仿宋"/>
                <w:color w:val="000000"/>
                <w:kern w:val="0"/>
                <w:szCs w:val="21"/>
              </w:rPr>
            </w:pPr>
            <w:r>
              <w:rPr>
                <w:rFonts w:hint="eastAsia" w:ascii="仿宋" w:hAnsi="仿宋" w:eastAsia="仿宋" w:cs="仿宋"/>
                <w:color w:val="000000"/>
                <w:kern w:val="0"/>
                <w:szCs w:val="21"/>
              </w:rPr>
              <w:t>卡尔曼水库农业用水区</w:t>
            </w:r>
          </w:p>
        </w:tc>
        <w:tc>
          <w:tcPr>
            <w:tcW w:w="1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仿宋" w:hAnsi="仿宋" w:eastAsia="仿宋" w:cs="仿宋"/>
                <w:color w:val="000000"/>
                <w:kern w:val="0"/>
                <w:szCs w:val="21"/>
              </w:rPr>
            </w:pPr>
            <w:r>
              <w:rPr>
                <w:rFonts w:hint="eastAsia" w:ascii="仿宋" w:hAnsi="仿宋" w:eastAsia="仿宋" w:cs="仿宋"/>
                <w:color w:val="000000"/>
                <w:kern w:val="0"/>
                <w:szCs w:val="21"/>
              </w:rPr>
              <w:t>卡尔曼水库</w:t>
            </w:r>
          </w:p>
        </w:tc>
        <w:tc>
          <w:tcPr>
            <w:tcW w:w="1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仿宋" w:hAnsi="仿宋" w:eastAsia="仿宋" w:cs="仿宋"/>
                <w:color w:val="000000"/>
                <w:kern w:val="0"/>
                <w:szCs w:val="21"/>
              </w:rPr>
            </w:pPr>
            <w:r>
              <w:rPr>
                <w:rFonts w:hint="eastAsia" w:ascii="仿宋" w:hAnsi="仿宋" w:eastAsia="仿宋" w:cs="仿宋"/>
                <w:color w:val="000000"/>
                <w:kern w:val="0"/>
                <w:szCs w:val="21"/>
              </w:rPr>
              <w:t>开发利用区</w:t>
            </w:r>
          </w:p>
        </w:tc>
        <w:tc>
          <w:tcPr>
            <w:tcW w:w="2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仿宋" w:hAnsi="仿宋" w:eastAsia="仿宋" w:cs="仿宋"/>
                <w:color w:val="000000"/>
                <w:kern w:val="0"/>
                <w:szCs w:val="21"/>
              </w:rPr>
            </w:pPr>
            <w:r>
              <w:rPr>
                <w:rFonts w:hint="eastAsia" w:ascii="仿宋" w:hAnsi="仿宋" w:eastAsia="仿宋" w:cs="仿宋"/>
                <w:color w:val="000000"/>
                <w:kern w:val="0"/>
                <w:szCs w:val="21"/>
              </w:rPr>
              <w:t>农业用水区</w:t>
            </w:r>
          </w:p>
        </w:tc>
        <w:tc>
          <w:tcPr>
            <w:tcW w:w="12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仿宋" w:hAnsi="仿宋" w:eastAsia="仿宋" w:cs="仿宋"/>
                <w:color w:val="000000"/>
                <w:kern w:val="0"/>
                <w:szCs w:val="21"/>
              </w:rPr>
            </w:pPr>
            <w:r>
              <w:rPr>
                <w:rFonts w:hint="eastAsia" w:ascii="仿宋" w:hAnsi="仿宋" w:eastAsia="仿宋" w:cs="仿宋"/>
                <w:color w:val="000000"/>
                <w:kern w:val="0"/>
                <w:szCs w:val="21"/>
              </w:rPr>
              <w:t>Ⅱ</w:t>
            </w:r>
          </w:p>
        </w:tc>
        <w:tc>
          <w:tcPr>
            <w:tcW w:w="12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仿宋" w:hAnsi="仿宋" w:eastAsia="仿宋" w:cs="仿宋"/>
                <w:color w:val="000000"/>
                <w:kern w:val="0"/>
                <w:szCs w:val="21"/>
              </w:rPr>
            </w:pPr>
            <w:r>
              <w:rPr>
                <w:rFonts w:hint="eastAsia" w:ascii="仿宋" w:hAnsi="仿宋" w:eastAsia="仿宋" w:cs="仿宋"/>
                <w:color w:val="000000"/>
                <w:kern w:val="0"/>
                <w:szCs w:val="21"/>
              </w:rPr>
              <w:t xml:space="preserve">0.32 </w:t>
            </w:r>
          </w:p>
        </w:tc>
      </w:tr>
      <w:tr>
        <w:tblPrEx>
          <w:tblLayout w:type="fixed"/>
          <w:tblCellMar>
            <w:top w:w="0" w:type="dxa"/>
            <w:left w:w="108" w:type="dxa"/>
            <w:bottom w:w="0" w:type="dxa"/>
            <w:right w:w="108" w:type="dxa"/>
          </w:tblCellMar>
        </w:tblPrEx>
        <w:trPr>
          <w:trHeight w:val="500" w:hRule="atLeast"/>
        </w:trPr>
        <w:tc>
          <w:tcPr>
            <w:tcW w:w="6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仿宋" w:hAnsi="仿宋" w:eastAsia="仿宋" w:cs="仿宋"/>
                <w:color w:val="000000"/>
                <w:kern w:val="0"/>
                <w:szCs w:val="21"/>
              </w:rPr>
            </w:pPr>
            <w:r>
              <w:rPr>
                <w:rFonts w:hint="eastAsia" w:ascii="仿宋" w:hAnsi="仿宋" w:eastAsia="仿宋" w:cs="仿宋"/>
                <w:color w:val="000000"/>
                <w:kern w:val="0"/>
                <w:szCs w:val="21"/>
              </w:rPr>
              <w:t>9</w:t>
            </w:r>
          </w:p>
        </w:tc>
        <w:tc>
          <w:tcPr>
            <w:tcW w:w="28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仿宋" w:hAnsi="仿宋" w:eastAsia="仿宋" w:cs="仿宋"/>
                <w:color w:val="000000"/>
                <w:kern w:val="0"/>
                <w:szCs w:val="21"/>
              </w:rPr>
            </w:pPr>
            <w:r>
              <w:rPr>
                <w:rFonts w:hint="eastAsia" w:ascii="仿宋" w:hAnsi="仿宋" w:eastAsia="仿宋" w:cs="仿宋"/>
                <w:color w:val="000000"/>
                <w:kern w:val="0"/>
                <w:szCs w:val="21"/>
              </w:rPr>
              <w:t>卡提亚水库开发利用区</w:t>
            </w:r>
          </w:p>
        </w:tc>
        <w:tc>
          <w:tcPr>
            <w:tcW w:w="31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仿宋" w:hAnsi="仿宋" w:eastAsia="仿宋" w:cs="仿宋"/>
                <w:color w:val="000000"/>
                <w:kern w:val="0"/>
                <w:szCs w:val="21"/>
              </w:rPr>
            </w:pPr>
            <w:r>
              <w:rPr>
                <w:rFonts w:hint="eastAsia" w:ascii="仿宋" w:hAnsi="仿宋" w:eastAsia="仿宋" w:cs="仿宋"/>
                <w:color w:val="000000"/>
                <w:kern w:val="0"/>
                <w:szCs w:val="21"/>
              </w:rPr>
              <w:t>卡提亚水库农业用水区</w:t>
            </w:r>
          </w:p>
        </w:tc>
        <w:tc>
          <w:tcPr>
            <w:tcW w:w="1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仿宋" w:hAnsi="仿宋" w:eastAsia="仿宋" w:cs="仿宋"/>
                <w:color w:val="000000"/>
                <w:kern w:val="0"/>
                <w:szCs w:val="21"/>
              </w:rPr>
            </w:pPr>
            <w:r>
              <w:rPr>
                <w:rFonts w:hint="eastAsia" w:ascii="仿宋" w:hAnsi="仿宋" w:eastAsia="仿宋" w:cs="仿宋"/>
                <w:color w:val="000000"/>
                <w:kern w:val="0"/>
                <w:szCs w:val="21"/>
              </w:rPr>
              <w:t>卡提亚水库</w:t>
            </w:r>
          </w:p>
        </w:tc>
        <w:tc>
          <w:tcPr>
            <w:tcW w:w="1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仿宋" w:hAnsi="仿宋" w:eastAsia="仿宋" w:cs="仿宋"/>
                <w:color w:val="000000"/>
                <w:kern w:val="0"/>
                <w:szCs w:val="21"/>
              </w:rPr>
            </w:pPr>
            <w:r>
              <w:rPr>
                <w:rFonts w:hint="eastAsia" w:ascii="仿宋" w:hAnsi="仿宋" w:eastAsia="仿宋" w:cs="仿宋"/>
                <w:color w:val="000000"/>
                <w:kern w:val="0"/>
                <w:szCs w:val="21"/>
              </w:rPr>
              <w:t>开发利用区</w:t>
            </w:r>
          </w:p>
        </w:tc>
        <w:tc>
          <w:tcPr>
            <w:tcW w:w="2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仿宋" w:hAnsi="仿宋" w:eastAsia="仿宋" w:cs="仿宋"/>
                <w:color w:val="000000"/>
                <w:kern w:val="0"/>
                <w:szCs w:val="21"/>
              </w:rPr>
            </w:pPr>
            <w:r>
              <w:rPr>
                <w:rFonts w:hint="eastAsia" w:ascii="仿宋" w:hAnsi="仿宋" w:eastAsia="仿宋" w:cs="仿宋"/>
                <w:color w:val="000000"/>
                <w:kern w:val="0"/>
                <w:szCs w:val="21"/>
              </w:rPr>
              <w:t>农业用水区</w:t>
            </w:r>
          </w:p>
        </w:tc>
        <w:tc>
          <w:tcPr>
            <w:tcW w:w="12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仿宋" w:hAnsi="仿宋" w:eastAsia="仿宋" w:cs="仿宋"/>
                <w:color w:val="000000"/>
                <w:kern w:val="0"/>
                <w:szCs w:val="21"/>
              </w:rPr>
            </w:pPr>
            <w:r>
              <w:rPr>
                <w:rFonts w:hint="eastAsia" w:ascii="仿宋" w:hAnsi="仿宋" w:eastAsia="仿宋" w:cs="仿宋"/>
                <w:color w:val="000000"/>
                <w:kern w:val="0"/>
                <w:szCs w:val="21"/>
              </w:rPr>
              <w:t>Ⅱ</w:t>
            </w:r>
          </w:p>
        </w:tc>
        <w:tc>
          <w:tcPr>
            <w:tcW w:w="12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仿宋" w:hAnsi="仿宋" w:eastAsia="仿宋" w:cs="仿宋"/>
                <w:color w:val="000000"/>
                <w:kern w:val="0"/>
                <w:szCs w:val="21"/>
              </w:rPr>
            </w:pPr>
            <w:r>
              <w:rPr>
                <w:rFonts w:hint="eastAsia" w:ascii="仿宋" w:hAnsi="仿宋" w:eastAsia="仿宋" w:cs="仿宋"/>
                <w:color w:val="000000"/>
                <w:kern w:val="0"/>
                <w:szCs w:val="21"/>
              </w:rPr>
              <w:t xml:space="preserve">0.30 </w:t>
            </w:r>
          </w:p>
        </w:tc>
      </w:tr>
    </w:tbl>
    <w:p/>
    <w:p>
      <w:pPr>
        <w:adjustRightInd w:val="0"/>
        <w:snapToGrid w:val="0"/>
        <w:spacing w:line="560" w:lineRule="exact"/>
        <w:rPr>
          <w:rFonts w:ascii="Times New Roman" w:hAnsi="Times New Roman" w:eastAsia="仿宋" w:cs="Times New Roman"/>
          <w:b/>
          <w:sz w:val="28"/>
          <w:szCs w:val="28"/>
        </w:rPr>
      </w:pPr>
    </w:p>
    <w:p>
      <w:pPr>
        <w:rPr>
          <w:rFonts w:ascii="Times New Roman" w:hAnsi="Times New Roman" w:eastAsia="仿宋" w:cs="Times New Roman"/>
          <w:sz w:val="30"/>
          <w:szCs w:val="30"/>
        </w:rPr>
      </w:pPr>
    </w:p>
    <w:sectPr>
      <w:pgSz w:w="16838" w:h="11906"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libri Light">
    <w:panose1 w:val="020F0302020204030204"/>
    <w:charset w:val="00"/>
    <w:family w:val="swiss"/>
    <w:pitch w:val="default"/>
    <w:sig w:usb0="A00002EF" w:usb1="4000207B" w:usb2="00000000"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方正小标宋简体">
    <w:panose1 w:val="02010601030101010101"/>
    <w:charset w:val="86"/>
    <w:family w:val="script"/>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pPr>
  </w:p>
  <w:p>
    <w:pPr>
      <w:pStyle w:val="7"/>
      <w:jc w:val="center"/>
      <w:rPr>
        <w:rFonts w:ascii="Times New Roman" w:hAnsi="Times New Roma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00848768"/>
      <w:docPartObj>
        <w:docPartGallery w:val="autotext"/>
      </w:docPartObj>
    </w:sdtPr>
    <w:sdtContent>
      <w:p>
        <w:pPr>
          <w:pStyle w:val="7"/>
          <w:jc w:val="center"/>
        </w:pPr>
        <w:r>
          <w:fldChar w:fldCharType="begin"/>
        </w:r>
        <w:r>
          <w:instrText xml:space="preserve">PAGE   \* MERGEFORMAT</w:instrText>
        </w:r>
        <w:r>
          <w:fldChar w:fldCharType="separate"/>
        </w:r>
        <w:r>
          <w:rPr>
            <w:lang w:val="zh-CN"/>
          </w:rPr>
          <w:t>37</w:t>
        </w:r>
        <w:r>
          <w:fldChar w:fldCharType="end"/>
        </w:r>
      </w:p>
    </w:sdtContent>
  </w:sdt>
  <w:p>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hideSpellingErrors/>
  <w:documentProtection w:enforcement="0"/>
  <w:defaultTabStop w:val="420"/>
  <w:drawingGridHorizontalSpacing w:val="105"/>
  <w:drawingGridVerticalSpacing w:val="156"/>
  <w:displayHorizontalDrawingGridEvery w:val="2"/>
  <w:displayVerticalDrawingGridEvery w:val="2"/>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2UxM2YwN2JhNDA1Y2NkYjNiYmRkNTI0YmFiODc1ZmQifQ=="/>
  </w:docVars>
  <w:rsids>
    <w:rsidRoot w:val="00A90606"/>
    <w:rsid w:val="00011F84"/>
    <w:rsid w:val="000179BE"/>
    <w:rsid w:val="00034C39"/>
    <w:rsid w:val="00040911"/>
    <w:rsid w:val="000526AE"/>
    <w:rsid w:val="00052E11"/>
    <w:rsid w:val="00062BAD"/>
    <w:rsid w:val="00075B6E"/>
    <w:rsid w:val="00097965"/>
    <w:rsid w:val="000A5643"/>
    <w:rsid w:val="000B38C3"/>
    <w:rsid w:val="000B69EE"/>
    <w:rsid w:val="000C56A9"/>
    <w:rsid w:val="000F32A3"/>
    <w:rsid w:val="0014100F"/>
    <w:rsid w:val="001413EA"/>
    <w:rsid w:val="00144969"/>
    <w:rsid w:val="00154C44"/>
    <w:rsid w:val="001554C8"/>
    <w:rsid w:val="00191797"/>
    <w:rsid w:val="0019471E"/>
    <w:rsid w:val="001A509B"/>
    <w:rsid w:val="001B2C65"/>
    <w:rsid w:val="001D3746"/>
    <w:rsid w:val="001E2D16"/>
    <w:rsid w:val="001F41EA"/>
    <w:rsid w:val="00202D3A"/>
    <w:rsid w:val="00217B50"/>
    <w:rsid w:val="00224F39"/>
    <w:rsid w:val="002262A1"/>
    <w:rsid w:val="00236818"/>
    <w:rsid w:val="00236E82"/>
    <w:rsid w:val="002607D7"/>
    <w:rsid w:val="00275B0B"/>
    <w:rsid w:val="0028163D"/>
    <w:rsid w:val="002822D5"/>
    <w:rsid w:val="00295CA8"/>
    <w:rsid w:val="0029737B"/>
    <w:rsid w:val="002A09C2"/>
    <w:rsid w:val="002A588F"/>
    <w:rsid w:val="002D61C3"/>
    <w:rsid w:val="003519A7"/>
    <w:rsid w:val="00360901"/>
    <w:rsid w:val="00380BCC"/>
    <w:rsid w:val="003877C5"/>
    <w:rsid w:val="003D0322"/>
    <w:rsid w:val="003D2703"/>
    <w:rsid w:val="003D4B62"/>
    <w:rsid w:val="003E0698"/>
    <w:rsid w:val="003E5026"/>
    <w:rsid w:val="00407330"/>
    <w:rsid w:val="004119D4"/>
    <w:rsid w:val="00434E14"/>
    <w:rsid w:val="00456B95"/>
    <w:rsid w:val="00457B57"/>
    <w:rsid w:val="00464B74"/>
    <w:rsid w:val="004A232C"/>
    <w:rsid w:val="004B3D07"/>
    <w:rsid w:val="004B64F7"/>
    <w:rsid w:val="004E2EA8"/>
    <w:rsid w:val="004E4801"/>
    <w:rsid w:val="00545321"/>
    <w:rsid w:val="0054774C"/>
    <w:rsid w:val="00566EC7"/>
    <w:rsid w:val="005807ED"/>
    <w:rsid w:val="0059503F"/>
    <w:rsid w:val="005B5A93"/>
    <w:rsid w:val="005C4DC6"/>
    <w:rsid w:val="005D05D8"/>
    <w:rsid w:val="005E3C1C"/>
    <w:rsid w:val="005E4D2F"/>
    <w:rsid w:val="005F152F"/>
    <w:rsid w:val="005F26FF"/>
    <w:rsid w:val="005F4945"/>
    <w:rsid w:val="005F5673"/>
    <w:rsid w:val="00612F38"/>
    <w:rsid w:val="00640FF0"/>
    <w:rsid w:val="00653BC2"/>
    <w:rsid w:val="006A201B"/>
    <w:rsid w:val="006A4E08"/>
    <w:rsid w:val="006B704C"/>
    <w:rsid w:val="006C3E18"/>
    <w:rsid w:val="006D4CA2"/>
    <w:rsid w:val="006E0A67"/>
    <w:rsid w:val="00710F40"/>
    <w:rsid w:val="00743CDB"/>
    <w:rsid w:val="00781D58"/>
    <w:rsid w:val="007B766B"/>
    <w:rsid w:val="007C1E40"/>
    <w:rsid w:val="007C70D1"/>
    <w:rsid w:val="007F6D4A"/>
    <w:rsid w:val="00804A08"/>
    <w:rsid w:val="00804CA8"/>
    <w:rsid w:val="00810974"/>
    <w:rsid w:val="00885041"/>
    <w:rsid w:val="00892F35"/>
    <w:rsid w:val="00894BF5"/>
    <w:rsid w:val="008A5FC8"/>
    <w:rsid w:val="008B50E9"/>
    <w:rsid w:val="008C1671"/>
    <w:rsid w:val="008C2B14"/>
    <w:rsid w:val="008D08CF"/>
    <w:rsid w:val="008D76FA"/>
    <w:rsid w:val="008E5E2C"/>
    <w:rsid w:val="009162E4"/>
    <w:rsid w:val="009209D2"/>
    <w:rsid w:val="00927F1C"/>
    <w:rsid w:val="00933457"/>
    <w:rsid w:val="009374B3"/>
    <w:rsid w:val="009433BE"/>
    <w:rsid w:val="009474E7"/>
    <w:rsid w:val="00972055"/>
    <w:rsid w:val="00973D71"/>
    <w:rsid w:val="00985B04"/>
    <w:rsid w:val="00991BB3"/>
    <w:rsid w:val="00992CEE"/>
    <w:rsid w:val="009938A8"/>
    <w:rsid w:val="009A68B5"/>
    <w:rsid w:val="009B589A"/>
    <w:rsid w:val="009D5D4E"/>
    <w:rsid w:val="009E3CBD"/>
    <w:rsid w:val="00A016C0"/>
    <w:rsid w:val="00A019EA"/>
    <w:rsid w:val="00A42CA8"/>
    <w:rsid w:val="00A627F0"/>
    <w:rsid w:val="00A769BE"/>
    <w:rsid w:val="00A7799D"/>
    <w:rsid w:val="00A90606"/>
    <w:rsid w:val="00A9103D"/>
    <w:rsid w:val="00A920DB"/>
    <w:rsid w:val="00AB0A96"/>
    <w:rsid w:val="00AB6EE7"/>
    <w:rsid w:val="00AC0758"/>
    <w:rsid w:val="00AC0C08"/>
    <w:rsid w:val="00AE7727"/>
    <w:rsid w:val="00AF35E0"/>
    <w:rsid w:val="00AF6869"/>
    <w:rsid w:val="00B65F24"/>
    <w:rsid w:val="00B70D07"/>
    <w:rsid w:val="00B86FE0"/>
    <w:rsid w:val="00BA1162"/>
    <w:rsid w:val="00BD0D6A"/>
    <w:rsid w:val="00BF14CB"/>
    <w:rsid w:val="00C049C7"/>
    <w:rsid w:val="00C17377"/>
    <w:rsid w:val="00C218AF"/>
    <w:rsid w:val="00C61E25"/>
    <w:rsid w:val="00C82FDB"/>
    <w:rsid w:val="00C84785"/>
    <w:rsid w:val="00C87F0F"/>
    <w:rsid w:val="00C91896"/>
    <w:rsid w:val="00C93C62"/>
    <w:rsid w:val="00C93CB8"/>
    <w:rsid w:val="00CB1148"/>
    <w:rsid w:val="00CD1106"/>
    <w:rsid w:val="00CF6D60"/>
    <w:rsid w:val="00D02AC0"/>
    <w:rsid w:val="00D22612"/>
    <w:rsid w:val="00D40163"/>
    <w:rsid w:val="00D75429"/>
    <w:rsid w:val="00D97FDC"/>
    <w:rsid w:val="00DB0462"/>
    <w:rsid w:val="00DB7289"/>
    <w:rsid w:val="00DC12A8"/>
    <w:rsid w:val="00DE1130"/>
    <w:rsid w:val="00E7076A"/>
    <w:rsid w:val="00E71E8A"/>
    <w:rsid w:val="00E919A6"/>
    <w:rsid w:val="00E95012"/>
    <w:rsid w:val="00EA1696"/>
    <w:rsid w:val="00EA1C77"/>
    <w:rsid w:val="00EB5118"/>
    <w:rsid w:val="00EB6598"/>
    <w:rsid w:val="00ED1892"/>
    <w:rsid w:val="00EE098C"/>
    <w:rsid w:val="00EE3226"/>
    <w:rsid w:val="00F00054"/>
    <w:rsid w:val="00F15F0C"/>
    <w:rsid w:val="00F24367"/>
    <w:rsid w:val="00F312CA"/>
    <w:rsid w:val="00F36B9B"/>
    <w:rsid w:val="00F51429"/>
    <w:rsid w:val="00F57EA2"/>
    <w:rsid w:val="00F6164C"/>
    <w:rsid w:val="00F712DB"/>
    <w:rsid w:val="00FA2156"/>
    <w:rsid w:val="00FA788F"/>
    <w:rsid w:val="00FB17EA"/>
    <w:rsid w:val="00FB28DF"/>
    <w:rsid w:val="00FB553D"/>
    <w:rsid w:val="00FE5687"/>
    <w:rsid w:val="00FF7FAA"/>
    <w:rsid w:val="16CF125B"/>
    <w:rsid w:val="2A667B06"/>
    <w:rsid w:val="370A6C88"/>
    <w:rsid w:val="4A340CE8"/>
    <w:rsid w:val="58DE472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21"/>
    <w:qFormat/>
    <w:uiPriority w:val="9"/>
    <w:pPr>
      <w:keepNext/>
      <w:keepLines/>
      <w:spacing w:before="340" w:after="330" w:line="578" w:lineRule="auto"/>
      <w:outlineLvl w:val="0"/>
    </w:pPr>
    <w:rPr>
      <w:b/>
      <w:bCs/>
      <w:kern w:val="44"/>
      <w:sz w:val="44"/>
      <w:szCs w:val="44"/>
    </w:rPr>
  </w:style>
  <w:style w:type="paragraph" w:styleId="4">
    <w:name w:val="heading 2"/>
    <w:basedOn w:val="1"/>
    <w:next w:val="1"/>
    <w:link w:val="24"/>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16"/>
    <w:unhideWhenUsed/>
    <w:qFormat/>
    <w:uiPriority w:val="9"/>
    <w:pPr>
      <w:keepNext/>
      <w:keepLines/>
      <w:spacing w:before="240" w:after="320" w:line="400" w:lineRule="exact"/>
      <w:jc w:val="left"/>
      <w:outlineLvl w:val="2"/>
    </w:pPr>
    <w:rPr>
      <w:rFonts w:eastAsia="黑体"/>
      <w:bCs/>
      <w:sz w:val="28"/>
      <w:szCs w:val="32"/>
    </w:rPr>
  </w:style>
  <w:style w:type="character" w:default="1" w:styleId="12">
    <w:name w:val="Default Paragraph Font"/>
    <w:semiHidden/>
    <w:unhideWhenUsed/>
    <w:qFormat/>
    <w:uiPriority w:val="1"/>
  </w:style>
  <w:style w:type="table" w:default="1" w:styleId="14">
    <w:name w:val="Normal Table"/>
    <w:semiHidden/>
    <w:unhideWhenUsed/>
    <w:qFormat/>
    <w:uiPriority w:val="99"/>
    <w:tblPr>
      <w:tblLayout w:type="fixed"/>
      <w:tblCellMar>
        <w:top w:w="0" w:type="dxa"/>
        <w:left w:w="108" w:type="dxa"/>
        <w:bottom w:w="0" w:type="dxa"/>
        <w:right w:w="108" w:type="dxa"/>
      </w:tblCellMar>
    </w:tblPr>
  </w:style>
  <w:style w:type="paragraph" w:styleId="2">
    <w:name w:val="Body Text"/>
    <w:basedOn w:val="1"/>
    <w:next w:val="1"/>
    <w:link w:val="17"/>
    <w:unhideWhenUsed/>
    <w:qFormat/>
    <w:uiPriority w:val="1"/>
    <w:pPr>
      <w:autoSpaceDE w:val="0"/>
      <w:autoSpaceDN w:val="0"/>
      <w:adjustRightInd w:val="0"/>
      <w:spacing w:before="26" w:line="480" w:lineRule="exact"/>
      <w:ind w:left="121" w:firstLine="200" w:firstLineChars="200"/>
      <w:jc w:val="left"/>
    </w:pPr>
    <w:rPr>
      <w:rFonts w:ascii="宋体" w:hAnsi="宋体" w:eastAsia="宋体" w:cs="Times New Roman"/>
      <w:kern w:val="0"/>
      <w:sz w:val="24"/>
      <w:szCs w:val="24"/>
    </w:rPr>
  </w:style>
  <w:style w:type="paragraph" w:styleId="6">
    <w:name w:val="Balloon Text"/>
    <w:basedOn w:val="1"/>
    <w:link w:val="25"/>
    <w:semiHidden/>
    <w:unhideWhenUsed/>
    <w:qFormat/>
    <w:uiPriority w:val="99"/>
    <w:rPr>
      <w:sz w:val="18"/>
      <w:szCs w:val="18"/>
    </w:rPr>
  </w:style>
  <w:style w:type="paragraph" w:styleId="7">
    <w:name w:val="footer"/>
    <w:basedOn w:val="1"/>
    <w:link w:val="20"/>
    <w:unhideWhenUsed/>
    <w:qFormat/>
    <w:uiPriority w:val="99"/>
    <w:pPr>
      <w:tabs>
        <w:tab w:val="center" w:pos="4153"/>
        <w:tab w:val="right" w:pos="8306"/>
      </w:tabs>
      <w:snapToGrid w:val="0"/>
      <w:jc w:val="left"/>
    </w:pPr>
    <w:rPr>
      <w:sz w:val="18"/>
      <w:szCs w:val="18"/>
    </w:rPr>
  </w:style>
  <w:style w:type="paragraph" w:styleId="8">
    <w:name w:val="header"/>
    <w:basedOn w:val="1"/>
    <w:link w:val="19"/>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toc 1"/>
    <w:basedOn w:val="1"/>
    <w:next w:val="1"/>
    <w:unhideWhenUsed/>
    <w:qFormat/>
    <w:uiPriority w:val="39"/>
    <w:rPr>
      <w:rFonts w:ascii="等线" w:hAnsi="等线" w:eastAsia="等线" w:cs="Times New Roman"/>
    </w:rPr>
  </w:style>
  <w:style w:type="paragraph" w:styleId="10">
    <w:name w:val="toc 2"/>
    <w:basedOn w:val="1"/>
    <w:next w:val="1"/>
    <w:unhideWhenUsed/>
    <w:qFormat/>
    <w:uiPriority w:val="39"/>
    <w:pPr>
      <w:ind w:left="420" w:leftChars="200"/>
    </w:pPr>
    <w:rPr>
      <w:rFonts w:ascii="等线" w:hAnsi="等线" w:eastAsia="等线" w:cs="Times New Roman"/>
    </w:rPr>
  </w:style>
  <w:style w:type="paragraph" w:styleId="11">
    <w:name w:val="Normal (Web)"/>
    <w:basedOn w:val="1"/>
    <w:qFormat/>
    <w:uiPriority w:val="99"/>
    <w:pPr>
      <w:spacing w:beforeAutospacing="1" w:afterAutospacing="1"/>
      <w:jc w:val="left"/>
    </w:pPr>
    <w:rPr>
      <w:rFonts w:ascii="Calibri" w:hAnsi="Calibri" w:eastAsia="宋体" w:cs="Times New Roman"/>
      <w:kern w:val="0"/>
      <w:sz w:val="24"/>
      <w:szCs w:val="24"/>
    </w:rPr>
  </w:style>
  <w:style w:type="character" w:styleId="13">
    <w:name w:val="Hyperlink"/>
    <w:basedOn w:val="12"/>
    <w:unhideWhenUsed/>
    <w:qFormat/>
    <w:uiPriority w:val="99"/>
    <w:rPr>
      <w:color w:val="0000FF"/>
      <w:u w:val="single"/>
    </w:rPr>
  </w:style>
  <w:style w:type="table" w:styleId="15">
    <w:name w:val="Table Grid"/>
    <w:basedOn w:val="1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16">
    <w:name w:val="标题 3 字符"/>
    <w:basedOn w:val="12"/>
    <w:link w:val="5"/>
    <w:qFormat/>
    <w:uiPriority w:val="9"/>
    <w:rPr>
      <w:rFonts w:eastAsia="黑体"/>
      <w:bCs/>
      <w:sz w:val="28"/>
      <w:szCs w:val="32"/>
    </w:rPr>
  </w:style>
  <w:style w:type="character" w:customStyle="1" w:styleId="17">
    <w:name w:val="正文文本 字符"/>
    <w:basedOn w:val="12"/>
    <w:link w:val="2"/>
    <w:qFormat/>
    <w:uiPriority w:val="1"/>
    <w:rPr>
      <w:rFonts w:ascii="宋体" w:hAnsi="宋体" w:eastAsia="宋体" w:cs="Times New Roman"/>
      <w:kern w:val="0"/>
      <w:sz w:val="24"/>
      <w:szCs w:val="24"/>
    </w:rPr>
  </w:style>
  <w:style w:type="paragraph" w:styleId="18">
    <w:name w:val="List Paragraph"/>
    <w:basedOn w:val="1"/>
    <w:qFormat/>
    <w:uiPriority w:val="34"/>
    <w:pPr>
      <w:spacing w:line="480" w:lineRule="exact"/>
      <w:ind w:firstLine="420" w:firstLineChars="200"/>
    </w:pPr>
    <w:rPr>
      <w:sz w:val="24"/>
    </w:rPr>
  </w:style>
  <w:style w:type="character" w:customStyle="1" w:styleId="19">
    <w:name w:val="页眉 字符"/>
    <w:basedOn w:val="12"/>
    <w:link w:val="8"/>
    <w:qFormat/>
    <w:uiPriority w:val="99"/>
    <w:rPr>
      <w:sz w:val="18"/>
      <w:szCs w:val="18"/>
    </w:rPr>
  </w:style>
  <w:style w:type="character" w:customStyle="1" w:styleId="20">
    <w:name w:val="页脚 字符"/>
    <w:basedOn w:val="12"/>
    <w:link w:val="7"/>
    <w:qFormat/>
    <w:uiPriority w:val="99"/>
    <w:rPr>
      <w:sz w:val="18"/>
      <w:szCs w:val="18"/>
    </w:rPr>
  </w:style>
  <w:style w:type="character" w:customStyle="1" w:styleId="21">
    <w:name w:val="标题 1 字符"/>
    <w:basedOn w:val="12"/>
    <w:link w:val="3"/>
    <w:qFormat/>
    <w:uiPriority w:val="9"/>
    <w:rPr>
      <w:b/>
      <w:bCs/>
      <w:kern w:val="44"/>
      <w:sz w:val="44"/>
      <w:szCs w:val="44"/>
    </w:rPr>
  </w:style>
  <w:style w:type="paragraph" w:customStyle="1" w:styleId="22">
    <w:name w:val="TOC 标题1"/>
    <w:basedOn w:val="3"/>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paragraph" w:customStyle="1" w:styleId="23">
    <w:name w:val="列表段落1"/>
    <w:basedOn w:val="1"/>
    <w:qFormat/>
    <w:uiPriority w:val="0"/>
    <w:pPr>
      <w:spacing w:line="480" w:lineRule="exact"/>
      <w:ind w:firstLine="420" w:firstLineChars="200"/>
    </w:pPr>
    <w:rPr>
      <w:rFonts w:ascii="Calibri" w:hAnsi="Calibri" w:eastAsia="宋体" w:cs="Times New Roman"/>
      <w:sz w:val="24"/>
      <w:szCs w:val="24"/>
    </w:rPr>
  </w:style>
  <w:style w:type="character" w:customStyle="1" w:styleId="24">
    <w:name w:val="标题 2 字符"/>
    <w:basedOn w:val="12"/>
    <w:link w:val="4"/>
    <w:qFormat/>
    <w:uiPriority w:val="9"/>
    <w:rPr>
      <w:rFonts w:asciiTheme="majorHAnsi" w:hAnsiTheme="majorHAnsi" w:eastAsiaTheme="majorEastAsia" w:cstheme="majorBidi"/>
      <w:b/>
      <w:bCs/>
      <w:sz w:val="32"/>
      <w:szCs w:val="32"/>
    </w:rPr>
  </w:style>
  <w:style w:type="character" w:customStyle="1" w:styleId="25">
    <w:name w:val="批注框文本 字符"/>
    <w:basedOn w:val="12"/>
    <w:link w:val="6"/>
    <w:semiHidden/>
    <w:qFormat/>
    <w:uiPriority w:val="99"/>
    <w:rPr>
      <w:sz w:val="18"/>
      <w:szCs w:val="18"/>
    </w:rPr>
  </w:style>
  <w:style w:type="paragraph" w:customStyle="1" w:styleId="26">
    <w:name w:val="TOC 标题11"/>
    <w:basedOn w:val="3"/>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27">
    <w:name w:val="font31"/>
    <w:basedOn w:val="12"/>
    <w:qFormat/>
    <w:uiPriority w:val="0"/>
    <w:rPr>
      <w:rFonts w:hint="eastAsia" w:ascii="宋体" w:hAnsi="宋体" w:eastAsia="宋体"/>
      <w:b/>
      <w:bCs/>
      <w:color w:val="000000"/>
      <w:sz w:val="18"/>
      <w:szCs w:val="18"/>
      <w:u w:val="none"/>
    </w:rPr>
  </w:style>
  <w:style w:type="character" w:customStyle="1" w:styleId="28">
    <w:name w:val="font21"/>
    <w:basedOn w:val="12"/>
    <w:qFormat/>
    <w:uiPriority w:val="0"/>
    <w:rPr>
      <w:rFonts w:hint="default" w:ascii="Times New Roman" w:hAnsi="Times New Roman" w:cs="Times New Roman"/>
      <w:b/>
      <w:bCs/>
      <w:color w:val="000000"/>
      <w:sz w:val="18"/>
      <w:szCs w:val="18"/>
      <w:u w:val="none"/>
    </w:rPr>
  </w:style>
  <w:style w:type="character" w:customStyle="1" w:styleId="29">
    <w:name w:val="font11"/>
    <w:basedOn w:val="12"/>
    <w:qFormat/>
    <w:uiPriority w:val="0"/>
    <w:rPr>
      <w:rFonts w:hint="eastAsia" w:ascii="宋体" w:hAnsi="宋体" w:eastAsia="宋体"/>
      <w:b/>
      <w:bCs/>
      <w:color w:val="000000"/>
      <w:sz w:val="18"/>
      <w:szCs w:val="18"/>
      <w:u w:val="none"/>
      <w:vertAlign w:val="superscript"/>
    </w:rPr>
  </w:style>
  <w:style w:type="character" w:customStyle="1" w:styleId="30">
    <w:name w:val="表标题h Char"/>
    <w:link w:val="31"/>
    <w:qFormat/>
    <w:uiPriority w:val="0"/>
    <w:rPr>
      <w:rFonts w:eastAsia="黑体"/>
      <w:kern w:val="2"/>
      <w:sz w:val="26"/>
      <w:szCs w:val="24"/>
    </w:rPr>
  </w:style>
  <w:style w:type="paragraph" w:customStyle="1" w:styleId="31">
    <w:name w:val="表标题h"/>
    <w:next w:val="1"/>
    <w:link w:val="30"/>
    <w:qFormat/>
    <w:uiPriority w:val="0"/>
    <w:pPr>
      <w:snapToGrid w:val="0"/>
      <w:spacing w:line="360" w:lineRule="auto"/>
      <w:jc w:val="center"/>
    </w:pPr>
    <w:rPr>
      <w:rFonts w:ascii="Times New Roman" w:hAnsi="Times New Roman" w:eastAsia="黑体" w:cs="Times New Roman"/>
      <w:kern w:val="2"/>
      <w:sz w:val="26"/>
      <w:szCs w:val="24"/>
      <w:lang w:val="en-US" w:eastAsia="zh-CN" w:bidi="ar-SA"/>
    </w:rPr>
  </w:style>
  <w:style w:type="character" w:customStyle="1" w:styleId="32">
    <w:name w:val="正文h Char"/>
    <w:link w:val="33"/>
    <w:qFormat/>
    <w:locked/>
    <w:uiPriority w:val="0"/>
    <w:rPr>
      <w:kern w:val="2"/>
      <w:sz w:val="24"/>
      <w:szCs w:val="24"/>
    </w:rPr>
  </w:style>
  <w:style w:type="paragraph" w:customStyle="1" w:styleId="33">
    <w:name w:val="正文h"/>
    <w:basedOn w:val="1"/>
    <w:link w:val="32"/>
    <w:qFormat/>
    <w:uiPriority w:val="0"/>
    <w:pPr>
      <w:autoSpaceDE w:val="0"/>
      <w:autoSpaceDN w:val="0"/>
      <w:adjustRightInd w:val="0"/>
      <w:snapToGrid w:val="0"/>
      <w:spacing w:line="360" w:lineRule="auto"/>
      <w:ind w:firstLine="200" w:firstLineChars="200"/>
    </w:pPr>
    <w:rPr>
      <w:rFonts w:ascii="Times New Roman" w:hAnsi="Times New Roman" w:eastAsia="宋体" w:cs="Times New Roman"/>
      <w:sz w:val="24"/>
      <w:szCs w:val="24"/>
    </w:rPr>
  </w:style>
  <w:style w:type="character" w:customStyle="1" w:styleId="34">
    <w:name w:val="表标 Char Char"/>
    <w:link w:val="35"/>
    <w:qFormat/>
    <w:uiPriority w:val="0"/>
    <w:rPr>
      <w:rFonts w:cs="宋体"/>
      <w:sz w:val="24"/>
      <w:szCs w:val="22"/>
      <w:lang w:val="en-US" w:eastAsia="zh-CN"/>
    </w:rPr>
  </w:style>
  <w:style w:type="paragraph" w:customStyle="1" w:styleId="35">
    <w:name w:val="表标"/>
    <w:basedOn w:val="1"/>
    <w:next w:val="1"/>
    <w:link w:val="34"/>
    <w:qFormat/>
    <w:uiPriority w:val="0"/>
    <w:pPr>
      <w:adjustRightInd w:val="0"/>
      <w:snapToGrid w:val="0"/>
      <w:jc w:val="left"/>
    </w:pPr>
    <w:rPr>
      <w:rFonts w:ascii="Times New Roman" w:hAnsi="Times New Roman" w:eastAsia="宋体" w:cs="宋体"/>
      <w:kern w:val="0"/>
      <w:sz w:val="24"/>
    </w:rPr>
  </w:style>
  <w:style w:type="character" w:customStyle="1" w:styleId="36">
    <w:name w:val="font01"/>
    <w:basedOn w:val="12"/>
    <w:qFormat/>
    <w:uiPriority w:val="0"/>
    <w:rPr>
      <w:rFonts w:hint="eastAsia" w:ascii="宋体" w:hAnsi="宋体" w:eastAsia="宋体"/>
      <w:color w:val="000000"/>
      <w:sz w:val="24"/>
      <w:szCs w:val="24"/>
      <w:u w:val="none"/>
    </w:rPr>
  </w:style>
  <w:style w:type="paragraph" w:customStyle="1" w:styleId="37">
    <w:name w:val="msonormal"/>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38">
    <w:name w:val="font0"/>
    <w:basedOn w:val="1"/>
    <w:qFormat/>
    <w:uiPriority w:val="0"/>
    <w:pPr>
      <w:widowControl/>
      <w:spacing w:before="100" w:beforeAutospacing="1" w:after="100" w:afterAutospacing="1"/>
      <w:jc w:val="left"/>
    </w:pPr>
    <w:rPr>
      <w:rFonts w:ascii="宋体" w:hAnsi="宋体" w:eastAsia="宋体" w:cs="宋体"/>
      <w:color w:val="000000"/>
      <w:kern w:val="0"/>
      <w:sz w:val="24"/>
      <w:szCs w:val="24"/>
    </w:rPr>
  </w:style>
  <w:style w:type="paragraph" w:customStyle="1" w:styleId="39">
    <w:name w:val="font1"/>
    <w:basedOn w:val="1"/>
    <w:qFormat/>
    <w:uiPriority w:val="0"/>
    <w:pPr>
      <w:widowControl/>
      <w:spacing w:before="100" w:beforeAutospacing="1" w:after="100" w:afterAutospacing="1"/>
      <w:jc w:val="left"/>
    </w:pPr>
    <w:rPr>
      <w:rFonts w:ascii="宋体" w:hAnsi="宋体" w:eastAsia="宋体" w:cs="宋体"/>
      <w:b/>
      <w:bCs/>
      <w:color w:val="000000"/>
      <w:kern w:val="0"/>
      <w:sz w:val="24"/>
      <w:szCs w:val="24"/>
    </w:rPr>
  </w:style>
  <w:style w:type="paragraph" w:customStyle="1" w:styleId="40">
    <w:name w:val="et2"/>
    <w:basedOn w:val="1"/>
    <w:qFormat/>
    <w:uiPriority w:val="0"/>
    <w:pPr>
      <w:widowControl/>
      <w:spacing w:before="100" w:beforeAutospacing="1" w:after="100" w:afterAutospacing="1"/>
      <w:jc w:val="center"/>
    </w:pPr>
    <w:rPr>
      <w:rFonts w:ascii="宋体" w:hAnsi="宋体" w:eastAsia="宋体" w:cs="宋体"/>
      <w:kern w:val="0"/>
      <w:sz w:val="24"/>
      <w:szCs w:val="24"/>
    </w:rPr>
  </w:style>
  <w:style w:type="paragraph" w:customStyle="1" w:styleId="41">
    <w:name w:val="et3"/>
    <w:basedOn w:val="1"/>
    <w:qFormat/>
    <w:uiPriority w:val="0"/>
    <w:pPr>
      <w:widowControl/>
      <w:spacing w:before="100" w:beforeAutospacing="1" w:after="100" w:afterAutospacing="1"/>
      <w:jc w:val="center"/>
    </w:pPr>
    <w:rPr>
      <w:rFonts w:ascii="宋体" w:hAnsi="宋体" w:eastAsia="宋体" w:cs="宋体"/>
      <w:kern w:val="0"/>
      <w:sz w:val="24"/>
      <w:szCs w:val="24"/>
    </w:rPr>
  </w:style>
  <w:style w:type="paragraph" w:customStyle="1" w:styleId="42">
    <w:name w:val="et4"/>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eastAsia="宋体" w:cs="宋体"/>
      <w:b/>
      <w:bCs/>
      <w:kern w:val="0"/>
      <w:sz w:val="24"/>
      <w:szCs w:val="24"/>
    </w:rPr>
  </w:style>
  <w:style w:type="paragraph" w:customStyle="1" w:styleId="43">
    <w:name w:val="et5"/>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eastAsia="宋体" w:cs="宋体"/>
      <w:kern w:val="0"/>
      <w:sz w:val="24"/>
      <w:szCs w:val="24"/>
    </w:rPr>
  </w:style>
  <w:style w:type="paragraph" w:customStyle="1" w:styleId="44">
    <w:name w:val="et6"/>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center"/>
    </w:pPr>
    <w:rPr>
      <w:rFonts w:ascii="宋体" w:hAnsi="宋体" w:eastAsia="宋体" w:cs="宋体"/>
      <w:kern w:val="0"/>
      <w:sz w:val="24"/>
      <w:szCs w:val="24"/>
    </w:rPr>
  </w:style>
  <w:style w:type="paragraph" w:customStyle="1" w:styleId="45">
    <w:name w:val="et7"/>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center"/>
    </w:pPr>
    <w:rPr>
      <w:rFonts w:ascii="宋体" w:hAnsi="宋体" w:eastAsia="宋体" w:cs="宋体"/>
      <w:kern w:val="0"/>
      <w:sz w:val="24"/>
      <w:szCs w:val="24"/>
    </w:rPr>
  </w:style>
  <w:style w:type="paragraph" w:customStyle="1" w:styleId="46">
    <w:name w:val="et8"/>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center"/>
    </w:pPr>
    <w:rPr>
      <w:rFonts w:ascii="宋体" w:hAnsi="宋体" w:eastAsia="宋体" w:cs="宋体"/>
      <w:kern w:val="0"/>
      <w:sz w:val="24"/>
      <w:szCs w:val="24"/>
    </w:rPr>
  </w:style>
  <w:style w:type="paragraph" w:customStyle="1" w:styleId="47">
    <w:name w:val="et9"/>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eastAsia="宋体" w:cs="宋体"/>
      <w:kern w:val="0"/>
      <w:sz w:val="24"/>
      <w:szCs w:val="24"/>
    </w:rPr>
  </w:style>
  <w:style w:type="paragraph" w:customStyle="1" w:styleId="48">
    <w:name w:val="TOC Heading"/>
    <w:basedOn w:val="3"/>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header" Target="head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customXml" Target="../customXml/item1.xml"/><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3BDEEC9-DF13-4A58-8B6B-7399E2E000E2}">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46</Pages>
  <Words>3861</Words>
  <Characters>22012</Characters>
  <Lines>183</Lines>
  <Paragraphs>51</Paragraphs>
  <TotalTime>3</TotalTime>
  <ScaleCrop>false</ScaleCrop>
  <LinksUpToDate>false</LinksUpToDate>
  <CharactersWithSpaces>25822</CharactersWithSpaces>
  <Application>WPS Office_11.8.2.8053_F1E327BC-269C-435d-A152-05C5408002CA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2020-11-23T03:49:00Z</dcterms:created>
  <dc:creator>Administrator</dc:creator>
  <cp:lastModifiedBy>Administrator</cp:lastModifiedBy>
  <dcterms:modified xsi:type="dcterms:W3CDTF">2024-01-16T10:35:55Z</dcterms:modified>
  <cp:revision>112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2052-11.8.2.8053</vt:lpwstr>
  </property>
  <property fmtid="{D5CDD505-2E9C-101B-9397-08002B2CF9AE}" pid="3" name="ICV">
    <vt:lpwstr>3D33D03163234D4682E1949FAA0CCDF2</vt:lpwstr>
  </property>
</Properties>
</file>